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6BB50AF" w14:textId="77777777" w:rsidR="00DC1FE5" w:rsidRPr="001A2B7A" w:rsidRDefault="00DC1FE5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32"/>
          <w:szCs w:val="32"/>
        </w:rPr>
      </w:pPr>
    </w:p>
    <w:p w14:paraId="564C35EE" w14:textId="77777777" w:rsidR="008C6CD5" w:rsidRPr="008C6CD5" w:rsidRDefault="008C6CD5" w:rsidP="008C6CD5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b/>
          <w:sz w:val="32"/>
          <w:szCs w:val="32"/>
        </w:rPr>
      </w:pPr>
      <w:r w:rsidRPr="008C6CD5">
        <w:rPr>
          <w:rFonts w:cs="Calibri"/>
          <w:b/>
          <w:sz w:val="32"/>
          <w:szCs w:val="32"/>
        </w:rPr>
        <w:t>O DESEMPENHO DA COMPARTIMENTAÇÃO HORIZONTAL SELETIVA NA PROMOÇÃO DA SEGURANÇA CONTRA INCÊNDIO EM EDIFICAÇÕES:</w:t>
      </w:r>
    </w:p>
    <w:p w14:paraId="4B1323DD" w14:textId="44BDBEC8" w:rsidR="00CF1E74" w:rsidRDefault="008C6CD5" w:rsidP="008C6CD5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b/>
          <w:sz w:val="32"/>
          <w:szCs w:val="32"/>
        </w:rPr>
      </w:pPr>
      <w:r w:rsidRPr="008C6CD5">
        <w:rPr>
          <w:rFonts w:cs="Calibri"/>
          <w:b/>
          <w:sz w:val="32"/>
          <w:szCs w:val="32"/>
        </w:rPr>
        <w:t>Simulação computacional como instrumento de avaliação em edificações universitárias.</w:t>
      </w:r>
      <w:r w:rsidR="000C02AB">
        <w:rPr>
          <w:rFonts w:cs="Calibri"/>
          <w:b/>
          <w:sz w:val="32"/>
          <w:szCs w:val="32"/>
        </w:rPr>
        <w:t xml:space="preserve"> </w:t>
      </w:r>
    </w:p>
    <w:p w14:paraId="3853AA68" w14:textId="77777777" w:rsidR="00863708" w:rsidRPr="003F4FF8" w:rsidRDefault="00863708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24"/>
          <w:szCs w:val="24"/>
        </w:rPr>
      </w:pPr>
    </w:p>
    <w:p w14:paraId="7CBD1871" w14:textId="0B8DFC78" w:rsidR="00CF1E74" w:rsidRPr="003F4FF8" w:rsidRDefault="005E13DA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16"/>
          <w:szCs w:val="16"/>
        </w:rPr>
      </w:pPr>
      <w:r>
        <w:rPr>
          <w:rFonts w:cs="Calibri"/>
          <w:sz w:val="24"/>
          <w:szCs w:val="24"/>
        </w:rPr>
        <w:t>Leonardo Cunha.</w:t>
      </w:r>
    </w:p>
    <w:p w14:paraId="7D5F9DE2" w14:textId="4841F00F" w:rsidR="00FD264B" w:rsidRDefault="00AD2674" w:rsidP="00AD2674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color w:val="BFBFBF"/>
          <w:sz w:val="20"/>
          <w:szCs w:val="20"/>
        </w:rPr>
      </w:pPr>
      <w:r w:rsidRPr="003F4FF8">
        <w:rPr>
          <w:rFonts w:cs="Calibri"/>
          <w:sz w:val="20"/>
          <w:szCs w:val="20"/>
        </w:rPr>
        <w:tab/>
      </w:r>
      <w:r w:rsidR="001A3B6A">
        <w:rPr>
          <w:rFonts w:cs="Calibri"/>
          <w:sz w:val="20"/>
          <w:szCs w:val="20"/>
        </w:rPr>
        <w:t xml:space="preserve">Contato: </w:t>
      </w:r>
      <w:r w:rsidR="005E13DA">
        <w:rPr>
          <w:rFonts w:cs="Calibri"/>
          <w:sz w:val="20"/>
          <w:szCs w:val="20"/>
        </w:rPr>
        <w:t>leonardo_cunha83@yahoo.com.br</w:t>
      </w:r>
    </w:p>
    <w:p w14:paraId="5838EA99" w14:textId="77777777" w:rsidR="00D22DFD" w:rsidRDefault="00D22DFD" w:rsidP="00AD2674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color w:val="BFBFBF"/>
          <w:sz w:val="20"/>
          <w:szCs w:val="20"/>
        </w:rPr>
      </w:pPr>
    </w:p>
    <w:p w14:paraId="1A8CE765" w14:textId="394AEF6C" w:rsidR="00D22DFD" w:rsidRPr="00D22DFD" w:rsidRDefault="00814E13" w:rsidP="00D22DFD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jc w:val="center"/>
        <w:rPr>
          <w:rFonts w:cs="Calibri"/>
          <w:color w:val="BFBFBF"/>
          <w:sz w:val="24"/>
          <w:szCs w:val="24"/>
        </w:rPr>
      </w:pPr>
      <w:r w:rsidRPr="005E13DA">
        <w:rPr>
          <w:rFonts w:cs="Calibri"/>
          <w:color w:val="000000"/>
          <w:sz w:val="24"/>
          <w:szCs w:val="24"/>
        </w:rPr>
        <w:t xml:space="preserve">Tecnologia </w:t>
      </w:r>
      <w:r>
        <w:rPr>
          <w:rFonts w:cs="Calibri"/>
          <w:color w:val="000000"/>
          <w:sz w:val="24"/>
          <w:szCs w:val="24"/>
        </w:rPr>
        <w:t>e</w:t>
      </w:r>
      <w:r w:rsidRPr="005E13DA">
        <w:rPr>
          <w:rFonts w:cs="Calibri"/>
          <w:color w:val="000000"/>
          <w:sz w:val="24"/>
          <w:szCs w:val="24"/>
        </w:rPr>
        <w:t xml:space="preserve"> Conforto </w:t>
      </w:r>
      <w:r>
        <w:rPr>
          <w:rFonts w:cs="Calibri"/>
          <w:color w:val="000000"/>
          <w:sz w:val="24"/>
          <w:szCs w:val="24"/>
        </w:rPr>
        <w:t>n</w:t>
      </w:r>
      <w:r w:rsidRPr="005E13DA">
        <w:rPr>
          <w:rFonts w:cs="Calibri"/>
          <w:color w:val="000000"/>
          <w:sz w:val="24"/>
          <w:szCs w:val="24"/>
        </w:rPr>
        <w:t>o Ambiente Construído</w:t>
      </w:r>
    </w:p>
    <w:p w14:paraId="2A95D22D" w14:textId="77777777" w:rsidR="00DC1FE5" w:rsidRPr="003F4FF8" w:rsidRDefault="00DC1FE5" w:rsidP="00AD2674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14:paraId="50ACE2EF" w14:textId="77777777" w:rsidR="00CF1E74" w:rsidRPr="003F4FF8" w:rsidRDefault="00C12F16" w:rsidP="00BC65CB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>
        <w:rPr>
          <w:rFonts w:cs="Calibri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3A8A902A" wp14:editId="70C95C71">
                <wp:simplePos x="0" y="0"/>
                <wp:positionH relativeFrom="column">
                  <wp:posOffset>50800</wp:posOffset>
                </wp:positionH>
                <wp:positionV relativeFrom="paragraph">
                  <wp:posOffset>74930</wp:posOffset>
                </wp:positionV>
                <wp:extent cx="6686550" cy="0"/>
                <wp:effectExtent l="12700" t="8255" r="6350" b="10795"/>
                <wp:wrapNone/>
                <wp:docPr id="7" name="Conector reto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8655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93895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line id="Conector reto 1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" from="4pt,5.9pt" to="530.5pt,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" strokecolor="#938953" strokeweight="1pt"/>
            </w:pict>
          </mc:Fallback>
        </mc:AlternateContent>
      </w:r>
    </w:p>
    <w:p w14:paraId="138ADBD2" w14:textId="77777777" w:rsidR="007B2EAF" w:rsidRDefault="007B2EAF" w:rsidP="00CF1E74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  <w:sectPr w:rsidR="007B2EAF" w:rsidSect="00FD264B">
          <w:headerReference w:type="even" r:id="rId9"/>
          <w:headerReference w:type="default" r:id="rId10"/>
          <w:footerReference w:type="even" r:id="rId11"/>
          <w:footerReference w:type="default" r:id="rId12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511FB778" w14:textId="75D535BA" w:rsidR="00CF1E74" w:rsidRPr="00074764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b/>
          <w:sz w:val="24"/>
          <w:szCs w:val="24"/>
        </w:rPr>
      </w:pPr>
      <w:r w:rsidRPr="00863708">
        <w:rPr>
          <w:rFonts w:cs="Calibri"/>
          <w:b/>
          <w:sz w:val="24"/>
          <w:szCs w:val="24"/>
        </w:rPr>
        <w:lastRenderedPageBreak/>
        <w:t>INTRODUÇÃO</w:t>
      </w:r>
    </w:p>
    <w:p w14:paraId="48CE4891" w14:textId="77777777" w:rsidR="00CF1E74" w:rsidRPr="00852EDB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</w:rPr>
      </w:pPr>
    </w:p>
    <w:p w14:paraId="6FEE7E96" w14:textId="2DF27B75" w:rsidR="00CF1E74" w:rsidRPr="003F4FF8" w:rsidRDefault="00CF6855" w:rsidP="00411454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  <w:r>
        <w:rPr>
          <w:rFonts w:cs="Calibri"/>
        </w:rPr>
        <w:t>O presente artigo trata</w:t>
      </w:r>
      <w:r w:rsidR="008C6CD5" w:rsidRPr="008C6CD5">
        <w:rPr>
          <w:rFonts w:cs="Calibri"/>
        </w:rPr>
        <w:t xml:space="preserve"> </w:t>
      </w:r>
      <w:r>
        <w:rPr>
          <w:rFonts w:cs="Calibri"/>
        </w:rPr>
        <w:t>d</w:t>
      </w:r>
      <w:r w:rsidR="008C6CD5" w:rsidRPr="008C6CD5">
        <w:rPr>
          <w:rFonts w:cs="Calibri"/>
        </w:rPr>
        <w:t xml:space="preserve">os resultados da pesquisa que aborda o desempenho da compartimentação horizontal seletiva na promoção da Segurança Contra Incêndio em Edificações – SCIE. A compartimentação horizontal é uma medida de proteção passiva de total controle por parte do arquiteto, passível de ser definida logo nas primeiras fases do processo projetual. </w:t>
      </w:r>
      <w:r w:rsidR="00051919">
        <w:rPr>
          <w:rFonts w:cs="Calibri"/>
        </w:rPr>
        <w:t>A</w:t>
      </w:r>
      <w:r w:rsidR="008C6CD5" w:rsidRPr="008C6CD5">
        <w:rPr>
          <w:rFonts w:cs="Calibri"/>
        </w:rPr>
        <w:t xml:space="preserve"> experiência </w:t>
      </w:r>
      <w:r w:rsidR="00051919">
        <w:rPr>
          <w:rFonts w:cs="Calibri"/>
        </w:rPr>
        <w:t>profissional do autor permite identificar uma recorrente</w:t>
      </w:r>
      <w:r w:rsidR="008C6CD5" w:rsidRPr="008C6CD5">
        <w:rPr>
          <w:rFonts w:cs="Calibri"/>
        </w:rPr>
        <w:t xml:space="preserve"> reconfiguração dos ambientes</w:t>
      </w:r>
      <w:r w:rsidR="00051919">
        <w:rPr>
          <w:rFonts w:cs="Calibri"/>
        </w:rPr>
        <w:t xml:space="preserve"> acadêmicos</w:t>
      </w:r>
      <w:r w:rsidR="008C6CD5" w:rsidRPr="008C6CD5">
        <w:rPr>
          <w:rFonts w:cs="Calibri"/>
        </w:rPr>
        <w:t>, objetivando ajustá-los à demanda surgente por espaço</w:t>
      </w:r>
      <w:r w:rsidR="00051919">
        <w:rPr>
          <w:rFonts w:cs="Calibri"/>
        </w:rPr>
        <w:t>.</w:t>
      </w:r>
      <w:r w:rsidR="008C6CD5">
        <w:rPr>
          <w:rFonts w:cs="Calibri"/>
        </w:rPr>
        <w:t xml:space="preserve"> </w:t>
      </w:r>
      <w:r w:rsidR="008C6CD5" w:rsidRPr="008C6CD5">
        <w:rPr>
          <w:rFonts w:cs="Calibri"/>
        </w:rPr>
        <w:t>Independente</w:t>
      </w:r>
      <w:r w:rsidR="00051919">
        <w:rPr>
          <w:rFonts w:cs="Calibri"/>
        </w:rPr>
        <w:t>mente do momento em que ocorre o particionamento</w:t>
      </w:r>
      <w:r w:rsidR="008C6CD5" w:rsidRPr="008C6CD5">
        <w:rPr>
          <w:rFonts w:cs="Calibri"/>
        </w:rPr>
        <w:t xml:space="preserve">, seja na fase de projeto ou durante a ocupação da edificação, as normas só consideram o ambiente compartimentado quando são empregados os elementos classificados como corta-fogo. Entretanto, considerando que os minutos iniciais de um incêndio são os mais importantes na desocupação da edificação, defende-se a hipótese de que elementos ignorados pelas prescrições normativas são capazes de promover a SCIE ao favorecer a evacuação e o resgate dos ocupantes. A partir de um modelo representativo </w:t>
      </w:r>
      <w:r w:rsidR="00051919">
        <w:rPr>
          <w:rFonts w:cs="Calibri"/>
        </w:rPr>
        <w:t>de uma sala de aula existente</w:t>
      </w:r>
      <w:r w:rsidR="008C6CD5" w:rsidRPr="008C6CD5">
        <w:rPr>
          <w:rFonts w:cs="Calibri"/>
        </w:rPr>
        <w:t xml:space="preserve">, utilizou-se a simulação computacional para testar o desempenho de um tipo de compartimentação horizontal seletiva com diferentes combinações de aberturas para exaustão da fumaça. Nos resultados obtidos </w:t>
      </w:r>
      <w:r w:rsidR="00051919">
        <w:rPr>
          <w:rFonts w:cs="Calibri"/>
        </w:rPr>
        <w:t>observou-se</w:t>
      </w:r>
      <w:r w:rsidR="008C6CD5" w:rsidRPr="008C6CD5">
        <w:rPr>
          <w:rFonts w:cs="Calibri"/>
        </w:rPr>
        <w:t xml:space="preserve"> que a compartimentação horizontal seletiva é capaz de </w:t>
      </w:r>
      <w:r w:rsidR="00051919">
        <w:rPr>
          <w:rFonts w:cs="Calibri"/>
        </w:rPr>
        <w:t>proporcionar</w:t>
      </w:r>
      <w:r w:rsidR="008C6CD5" w:rsidRPr="008C6CD5">
        <w:rPr>
          <w:rFonts w:cs="Calibri"/>
        </w:rPr>
        <w:t xml:space="preserve"> </w:t>
      </w:r>
      <w:r w:rsidR="00051919">
        <w:rPr>
          <w:rFonts w:cs="Calibri"/>
        </w:rPr>
        <w:t xml:space="preserve">dois </w:t>
      </w:r>
      <w:r w:rsidR="008C6CD5" w:rsidRPr="008C6CD5">
        <w:rPr>
          <w:rFonts w:cs="Calibri"/>
        </w:rPr>
        <w:t xml:space="preserve">benefícios para os ocupantes </w:t>
      </w:r>
      <w:r w:rsidR="00051919">
        <w:rPr>
          <w:rFonts w:cs="Calibri"/>
        </w:rPr>
        <w:t xml:space="preserve">da edificação </w:t>
      </w:r>
      <w:r w:rsidR="00C97083">
        <w:rPr>
          <w:rFonts w:cs="Calibri"/>
        </w:rPr>
        <w:t>em uma situação de incêndio</w:t>
      </w:r>
      <w:r w:rsidR="00051919">
        <w:rPr>
          <w:rFonts w:cs="Calibri"/>
        </w:rPr>
        <w:t>:</w:t>
      </w:r>
      <w:r w:rsidR="008C6CD5" w:rsidRPr="008C6CD5">
        <w:rPr>
          <w:rFonts w:cs="Calibri"/>
        </w:rPr>
        <w:t xml:space="preserve"> promover maior altura da camada livre de fumaça</w:t>
      </w:r>
      <w:r w:rsidR="00051919">
        <w:rPr>
          <w:rFonts w:cs="Calibri"/>
        </w:rPr>
        <w:t xml:space="preserve"> e </w:t>
      </w:r>
      <w:r w:rsidR="008C6CD5" w:rsidRPr="008C6CD5">
        <w:rPr>
          <w:rFonts w:cs="Calibri"/>
        </w:rPr>
        <w:t xml:space="preserve">retardar </w:t>
      </w:r>
      <w:r w:rsidR="00051919">
        <w:rPr>
          <w:rFonts w:cs="Calibri"/>
        </w:rPr>
        <w:t>o instante em que a temperatura-</w:t>
      </w:r>
      <w:r w:rsidR="008C6CD5" w:rsidRPr="008C6CD5">
        <w:rPr>
          <w:rFonts w:cs="Calibri"/>
        </w:rPr>
        <w:t>limite para a sobrevivência humana é atingida.</w:t>
      </w:r>
    </w:p>
    <w:p w14:paraId="2B7B42DE" w14:textId="2134C366" w:rsidR="00CF1E74" w:rsidRPr="003F4FF8" w:rsidRDefault="00CF1E74" w:rsidP="00411454">
      <w:pPr>
        <w:keepNext/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 w:rsidRPr="0020318F">
        <w:rPr>
          <w:rFonts w:cs="Calibri"/>
          <w:b/>
          <w:sz w:val="24"/>
          <w:szCs w:val="24"/>
        </w:rPr>
        <w:lastRenderedPageBreak/>
        <w:t>OBJETIVOS</w:t>
      </w:r>
    </w:p>
    <w:p w14:paraId="32C11A96" w14:textId="77777777" w:rsidR="00863708" w:rsidRDefault="00863708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3525C176" w14:textId="48AAE203" w:rsidR="00CF1E74" w:rsidRPr="00852EDB" w:rsidRDefault="00411454" w:rsidP="00D055D1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411454">
        <w:rPr>
          <w:rFonts w:cs="Calibri"/>
        </w:rPr>
        <w:t xml:space="preserve">Propor e analisar, com o auxílio da simulação computacional, </w:t>
      </w:r>
      <w:r>
        <w:rPr>
          <w:rFonts w:cs="Calibri"/>
        </w:rPr>
        <w:t>um tipo</w:t>
      </w:r>
      <w:r w:rsidRPr="00411454">
        <w:rPr>
          <w:rFonts w:cs="Calibri"/>
        </w:rPr>
        <w:t xml:space="preserve"> de compartimentação horizontal seletiva </w:t>
      </w:r>
      <w:r w:rsidR="00DF468A">
        <w:rPr>
          <w:rFonts w:cs="Calibri"/>
        </w:rPr>
        <w:t>aplicada</w:t>
      </w:r>
      <w:r w:rsidR="00DF468A" w:rsidRPr="00411454">
        <w:rPr>
          <w:rFonts w:cs="Calibri"/>
        </w:rPr>
        <w:t xml:space="preserve"> </w:t>
      </w:r>
      <w:r w:rsidR="00C97083">
        <w:rPr>
          <w:rFonts w:cs="Calibri"/>
        </w:rPr>
        <w:t xml:space="preserve">em </w:t>
      </w:r>
      <w:r w:rsidRPr="00411454">
        <w:rPr>
          <w:rFonts w:cs="Calibri"/>
        </w:rPr>
        <w:t xml:space="preserve">um modelo representativo de uma </w:t>
      </w:r>
      <w:r w:rsidR="00D45A80">
        <w:rPr>
          <w:rFonts w:cs="Calibri"/>
        </w:rPr>
        <w:t xml:space="preserve">sala de aula </w:t>
      </w:r>
      <w:r w:rsidRPr="00411454">
        <w:rPr>
          <w:rFonts w:cs="Calibri"/>
        </w:rPr>
        <w:t>de médio porte.</w:t>
      </w:r>
    </w:p>
    <w:p w14:paraId="047BA4F6" w14:textId="77777777" w:rsidR="00CF1E74" w:rsidRPr="003F4FF8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167423B9" w14:textId="1F7995AF" w:rsidR="00CF1E74" w:rsidRDefault="009F1EF8" w:rsidP="007B2EAF">
      <w:pPr>
        <w:autoSpaceDE w:val="0"/>
        <w:autoSpaceDN w:val="0"/>
        <w:adjustRightInd w:val="0"/>
        <w:spacing w:after="0" w:line="240" w:lineRule="auto"/>
        <w:rPr>
          <w:rFonts w:cs="Calibri"/>
          <w:b/>
          <w:sz w:val="24"/>
          <w:szCs w:val="24"/>
        </w:rPr>
      </w:pPr>
      <w:r>
        <w:rPr>
          <w:rFonts w:cs="Calibri"/>
          <w:b/>
          <w:sz w:val="24"/>
          <w:szCs w:val="24"/>
        </w:rPr>
        <w:t>M</w:t>
      </w:r>
      <w:r w:rsidRPr="008374C7">
        <w:rPr>
          <w:rFonts w:cs="Calibri"/>
          <w:b/>
          <w:sz w:val="24"/>
          <w:szCs w:val="24"/>
        </w:rPr>
        <w:t>É</w:t>
      </w:r>
      <w:r w:rsidR="00CF1E74" w:rsidRPr="0020318F">
        <w:rPr>
          <w:rFonts w:cs="Calibri"/>
          <w:b/>
          <w:sz w:val="24"/>
          <w:szCs w:val="24"/>
        </w:rPr>
        <w:t>TODO</w:t>
      </w:r>
    </w:p>
    <w:p w14:paraId="1231C86B" w14:textId="77777777" w:rsidR="000E4361" w:rsidRPr="003F4FF8" w:rsidRDefault="000E4361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280B1FED" w14:textId="62759DA2" w:rsidR="00FC6031" w:rsidRPr="00FC6031" w:rsidRDefault="00FC6031" w:rsidP="00D103FB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>
        <w:rPr>
          <w:rFonts w:cs="Calibri"/>
        </w:rPr>
        <w:t>A</w:t>
      </w:r>
      <w:r w:rsidR="00A853BC">
        <w:rPr>
          <w:rFonts w:cs="Calibri"/>
        </w:rPr>
        <w:t xml:space="preserve"> pesquisa </w:t>
      </w:r>
      <w:r>
        <w:rPr>
          <w:rFonts w:cs="Calibri"/>
        </w:rPr>
        <w:t>foi</w:t>
      </w:r>
      <w:r w:rsidR="00A853BC" w:rsidRPr="00A853BC">
        <w:rPr>
          <w:rFonts w:cs="Calibri"/>
        </w:rPr>
        <w:t xml:space="preserve"> </w:t>
      </w:r>
      <w:r>
        <w:rPr>
          <w:rFonts w:cs="Calibri"/>
        </w:rPr>
        <w:t xml:space="preserve">conduzida seguindo </w:t>
      </w:r>
      <w:r w:rsidR="00A853BC" w:rsidRPr="00A853BC">
        <w:rPr>
          <w:rFonts w:cs="Calibri"/>
        </w:rPr>
        <w:t>o método denominado hipotético-dedutivo</w:t>
      </w:r>
      <w:r>
        <w:rPr>
          <w:rFonts w:cs="Calibri"/>
        </w:rPr>
        <w:t>,</w:t>
      </w:r>
      <w:r w:rsidRPr="00A853BC">
        <w:rPr>
          <w:rFonts w:cs="Calibri"/>
        </w:rPr>
        <w:t xml:space="preserve"> proposto pelo filósofo Austríaco Karl Popper</w:t>
      </w:r>
      <w:r>
        <w:rPr>
          <w:rFonts w:cs="Calibri"/>
        </w:rPr>
        <w:t xml:space="preserve">, que </w:t>
      </w:r>
      <w:r w:rsidRPr="00FC6031">
        <w:rPr>
          <w:rFonts w:cs="Calibri"/>
        </w:rPr>
        <w:t xml:space="preserve">consiste em “buscar a verdade eliminando tudo o que é </w:t>
      </w:r>
      <w:r w:rsidRPr="00332962">
        <w:rPr>
          <w:rFonts w:cs="Calibri"/>
        </w:rPr>
        <w:t>falso” (PORANTIM, 2013, p. 1).</w:t>
      </w:r>
      <w:r w:rsidR="00185972" w:rsidRPr="00332962">
        <w:rPr>
          <w:rFonts w:cs="Calibri"/>
        </w:rPr>
        <w:t xml:space="preserve"> </w:t>
      </w:r>
      <w:r w:rsidRPr="00332962">
        <w:rPr>
          <w:rFonts w:cs="Calibri"/>
        </w:rPr>
        <w:t>O método hipotético-dedutivo, conforme descrito por Lucena (2011), mostrou-s</w:t>
      </w:r>
      <w:r w:rsidRPr="00FC6031">
        <w:rPr>
          <w:rFonts w:cs="Calibri"/>
        </w:rPr>
        <w:t xml:space="preserve">e particularmente adequado para </w:t>
      </w:r>
      <w:r>
        <w:rPr>
          <w:rFonts w:cs="Calibri"/>
        </w:rPr>
        <w:t>a pesquisa realizada</w:t>
      </w:r>
      <w:r w:rsidRPr="00FC6031">
        <w:rPr>
          <w:rFonts w:cs="Calibri"/>
        </w:rPr>
        <w:t xml:space="preserve">, pois contempla a etapa de testes como principal forma de validação de uma </w:t>
      </w:r>
      <w:r>
        <w:rPr>
          <w:rFonts w:cs="Calibri"/>
        </w:rPr>
        <w:t>hipótese inicialmente proposta.</w:t>
      </w:r>
    </w:p>
    <w:p w14:paraId="4DD498C5" w14:textId="77777777" w:rsidR="00FC6031" w:rsidRPr="003F4FF8" w:rsidRDefault="00FC6031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138CB820" w14:textId="74E3DCB5" w:rsidR="00CF1E74" w:rsidRPr="003F4FF8" w:rsidRDefault="00DD7D0F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>
        <w:rPr>
          <w:rFonts w:cs="Calibri"/>
          <w:b/>
          <w:sz w:val="24"/>
          <w:szCs w:val="24"/>
        </w:rPr>
        <w:t>DESENVOLVIMENTO</w:t>
      </w:r>
    </w:p>
    <w:p w14:paraId="79F5B22C" w14:textId="77777777" w:rsidR="00D45A80" w:rsidRDefault="00D45A80" w:rsidP="008C3121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14:paraId="18805156" w14:textId="574C099D" w:rsidR="00863708" w:rsidRPr="008C3121" w:rsidRDefault="008C3121" w:rsidP="008C3121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8C3121">
        <w:rPr>
          <w:rFonts w:cs="Calibri"/>
        </w:rPr>
        <w:t xml:space="preserve">A segurança contra incêndio corresponde ao conjunto de medidas para mitigar o risco de ocorrência </w:t>
      </w:r>
      <w:r w:rsidR="005F6331">
        <w:rPr>
          <w:rFonts w:cs="Calibri"/>
        </w:rPr>
        <w:t>de um</w:t>
      </w:r>
      <w:r w:rsidRPr="008C3121">
        <w:rPr>
          <w:rFonts w:cs="Calibri"/>
        </w:rPr>
        <w:t xml:space="preserve"> incêndio e, em caso de sinistro, minimizar as consequências decorrentes. A ocorrência de incêndios é baixa se comparada com outros incidentes que a sociedade está cotidianamente suscetível. Mesmo em uma edificação incendiada, o risco de morte é pequeno, pois pressupõe falha</w:t>
      </w:r>
      <w:r w:rsidR="005F6331">
        <w:rPr>
          <w:rFonts w:cs="Calibri"/>
        </w:rPr>
        <w:t>s</w:t>
      </w:r>
      <w:r w:rsidRPr="008C3121">
        <w:rPr>
          <w:rFonts w:cs="Calibri"/>
        </w:rPr>
        <w:t xml:space="preserve"> sucessiva</w:t>
      </w:r>
      <w:r w:rsidR="005F6331">
        <w:rPr>
          <w:rFonts w:cs="Calibri"/>
        </w:rPr>
        <w:t>s</w:t>
      </w:r>
      <w:r w:rsidRPr="008C3121">
        <w:rPr>
          <w:rFonts w:cs="Calibri"/>
        </w:rPr>
        <w:t xml:space="preserve"> ou </w:t>
      </w:r>
      <w:r w:rsidR="000C6FEE">
        <w:rPr>
          <w:rFonts w:cs="Calibri"/>
        </w:rPr>
        <w:t xml:space="preserve">a </w:t>
      </w:r>
      <w:r w:rsidRPr="008C3121">
        <w:rPr>
          <w:rFonts w:cs="Calibri"/>
        </w:rPr>
        <w:t>ausência de vários sistemas prevenção e proteção. Segundo Silva, “pesquisas europeias mostram que o risco de morte em incêndios é 30 vezes menor do que o risco de morte no sistema de transporte</w:t>
      </w:r>
      <w:r w:rsidRPr="00332962">
        <w:rPr>
          <w:rFonts w:cs="Calibri"/>
        </w:rPr>
        <w:t>” (SILVA, 200</w:t>
      </w:r>
      <w:r w:rsidR="0082664A" w:rsidRPr="00332962">
        <w:rPr>
          <w:rFonts w:cs="Calibri"/>
        </w:rPr>
        <w:t>4</w:t>
      </w:r>
      <w:r w:rsidRPr="00332962">
        <w:rPr>
          <w:rFonts w:cs="Calibri"/>
        </w:rPr>
        <w:t>, p. 67). Apesar</w:t>
      </w:r>
      <w:r w:rsidRPr="008C3121">
        <w:rPr>
          <w:rFonts w:cs="Calibri"/>
        </w:rPr>
        <w:t xml:space="preserve"> do baixo risco de incidência e de óbitos, a proteção à vida deve ser entendida como prerrogativa essencial na </w:t>
      </w:r>
      <w:r w:rsidRPr="008C3121">
        <w:rPr>
          <w:rFonts w:cs="Calibri"/>
        </w:rPr>
        <w:lastRenderedPageBreak/>
        <w:t>acepção arquitetônica de SCI</w:t>
      </w:r>
      <w:r w:rsidR="005F6331">
        <w:rPr>
          <w:rFonts w:cs="Calibri"/>
        </w:rPr>
        <w:t>E</w:t>
      </w:r>
      <w:r w:rsidRPr="008C3121">
        <w:rPr>
          <w:rFonts w:cs="Calibri"/>
        </w:rPr>
        <w:t xml:space="preserve">. </w:t>
      </w:r>
      <w:r w:rsidR="005F6331">
        <w:rPr>
          <w:rFonts w:cs="Calibri"/>
        </w:rPr>
        <w:t>Assim</w:t>
      </w:r>
      <w:r w:rsidRPr="008C3121">
        <w:rPr>
          <w:rFonts w:cs="Calibri"/>
        </w:rPr>
        <w:t>, a SCIE deve se afirmar como uma diretriz independente daquelas contidas no programa de necessidades listado pelo cliente.</w:t>
      </w:r>
    </w:p>
    <w:p w14:paraId="19D0DA06" w14:textId="1BD8F12F" w:rsidR="00594732" w:rsidRDefault="00411454" w:rsidP="00681B2D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411454">
        <w:rPr>
          <w:rFonts w:cs="Calibri"/>
        </w:rPr>
        <w:t xml:space="preserve">Uma medida de proteção passiva determinante na SCIE é a compartimentação da edificação, que consiste na subdivisão do edifício em ‘células’ capazes de confinar a ação do incêndio no ambiente de origem. A compartimentação horizontal visa evitar a propagação do incêndio ao longo de um pavimento, enquanto que a vertical busca impedir o avanço entre pavimentos sucessivos. Por restringir as chamas e seus subprodutos no interior do ambiente de origem, a compartimentação contribui efetivamente para a evacuação segura dos ocupantes da edificação, </w:t>
      </w:r>
      <w:r w:rsidR="000C6FEE">
        <w:rPr>
          <w:rFonts w:cs="Calibri"/>
        </w:rPr>
        <w:t>bem como</w:t>
      </w:r>
      <w:r w:rsidRPr="00411454">
        <w:rPr>
          <w:rFonts w:cs="Calibri"/>
        </w:rPr>
        <w:t xml:space="preserve"> nas operações de combate ao fogo</w:t>
      </w:r>
      <w:r w:rsidR="000C6FEE">
        <w:rPr>
          <w:rFonts w:cs="Calibri"/>
        </w:rPr>
        <w:t xml:space="preserve"> e resgate</w:t>
      </w:r>
      <w:r w:rsidRPr="00411454">
        <w:rPr>
          <w:rFonts w:cs="Calibri"/>
        </w:rPr>
        <w:t>.</w:t>
      </w:r>
    </w:p>
    <w:p w14:paraId="471A4B74" w14:textId="2D9ED147" w:rsidR="00411454" w:rsidRDefault="00411454" w:rsidP="00681B2D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411454">
        <w:rPr>
          <w:rFonts w:cs="Calibri"/>
        </w:rPr>
        <w:t xml:space="preserve">A avaliação típica da compartimentação é feita por meio da verificação dos elementos característicos. A certificação </w:t>
      </w:r>
      <w:r w:rsidR="000C6FEE">
        <w:rPr>
          <w:rFonts w:cs="Calibri"/>
        </w:rPr>
        <w:t>em vigor</w:t>
      </w:r>
      <w:r w:rsidRPr="00411454">
        <w:rPr>
          <w:rFonts w:cs="Calibri"/>
        </w:rPr>
        <w:t xml:space="preserve"> segue uma distinção binária, do tipo: ‘existe’ ou ‘não existe’, bastando </w:t>
      </w:r>
      <w:proofErr w:type="gramStart"/>
      <w:r w:rsidRPr="00411454">
        <w:rPr>
          <w:rFonts w:cs="Calibri"/>
        </w:rPr>
        <w:t>a</w:t>
      </w:r>
      <w:proofErr w:type="gramEnd"/>
      <w:r w:rsidRPr="00411454">
        <w:rPr>
          <w:rFonts w:cs="Calibri"/>
        </w:rPr>
        <w:t xml:space="preserve"> ausência de um único elemento para que a edificação seja classificada como não compartimentada. Desse modo, pouca atenção é dada ao desempenho dos elementos não previstos nas normas. </w:t>
      </w:r>
      <w:r w:rsidR="000C6FEE">
        <w:rPr>
          <w:rFonts w:cs="Calibri"/>
        </w:rPr>
        <w:t xml:space="preserve">Contudo, </w:t>
      </w:r>
      <w:r w:rsidR="000C6FEE" w:rsidRPr="00411454">
        <w:rPr>
          <w:rFonts w:cs="Calibri"/>
        </w:rPr>
        <w:t>torna-se justificável a avaliação da eficiência dos elementos ignorados pelos códigos prescritivos tradicionais no contexto atual</w:t>
      </w:r>
      <w:r w:rsidR="000C6FEE">
        <w:rPr>
          <w:rFonts w:cs="Calibri"/>
        </w:rPr>
        <w:t>, em concordância ao</w:t>
      </w:r>
      <w:r w:rsidRPr="00411454">
        <w:rPr>
          <w:rFonts w:cs="Calibri"/>
        </w:rPr>
        <w:t xml:space="preserve"> </w:t>
      </w:r>
      <w:r w:rsidRPr="00332962">
        <w:rPr>
          <w:rFonts w:cs="Calibri"/>
        </w:rPr>
        <w:t>pensamento de Ono (2011</w:t>
      </w:r>
      <w:r w:rsidR="00BD0D06" w:rsidRPr="00332962">
        <w:rPr>
          <w:rFonts w:cs="Calibri"/>
        </w:rPr>
        <w:t>, p. 23</w:t>
      </w:r>
      <w:r w:rsidRPr="00332962">
        <w:rPr>
          <w:rFonts w:cs="Calibri"/>
        </w:rPr>
        <w:t>), que</w:t>
      </w:r>
      <w:r w:rsidRPr="00411454">
        <w:rPr>
          <w:rFonts w:cs="Calibri"/>
        </w:rPr>
        <w:t xml:space="preserve"> destaca a tendência mundial em seguir recomendações com base </w:t>
      </w:r>
      <w:r w:rsidR="000C6FEE">
        <w:rPr>
          <w:rFonts w:cs="Calibri"/>
        </w:rPr>
        <w:t>no desempenho</w:t>
      </w:r>
      <w:r w:rsidRPr="00411454">
        <w:rPr>
          <w:rFonts w:cs="Calibri"/>
        </w:rPr>
        <w:t>.</w:t>
      </w:r>
    </w:p>
    <w:p w14:paraId="5DAB6395" w14:textId="0EC616F2" w:rsidR="00411454" w:rsidRDefault="00F51590" w:rsidP="00681B2D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>
        <w:rPr>
          <w:rFonts w:cs="Calibri"/>
        </w:rPr>
        <w:t xml:space="preserve">A avaliação do desempenho das medidas passivas de SCIE </w:t>
      </w:r>
      <w:r w:rsidR="00FC369F">
        <w:rPr>
          <w:rFonts w:cs="Calibri"/>
        </w:rPr>
        <w:t xml:space="preserve">torna-se mais proveitosa quando realizada por uma ferramenta de análise </w:t>
      </w:r>
      <w:r w:rsidR="00411454" w:rsidRPr="00411454">
        <w:rPr>
          <w:rFonts w:cs="Calibri"/>
        </w:rPr>
        <w:t>compatível com a atividade projetual. Nesse contexto,</w:t>
      </w:r>
      <w:r w:rsidR="00FC369F">
        <w:rPr>
          <w:rFonts w:cs="Calibri"/>
        </w:rPr>
        <w:t xml:space="preserve"> o</w:t>
      </w:r>
      <w:r w:rsidR="00FC369F" w:rsidRPr="00411454">
        <w:rPr>
          <w:rFonts w:cs="Calibri"/>
        </w:rPr>
        <w:t xml:space="preserve">s </w:t>
      </w:r>
      <w:r w:rsidR="00FC369F" w:rsidRPr="008C3121">
        <w:rPr>
          <w:rFonts w:cs="Calibri"/>
          <w:i/>
        </w:rPr>
        <w:t>softwares</w:t>
      </w:r>
      <w:r w:rsidR="00FC369F" w:rsidRPr="00411454">
        <w:rPr>
          <w:rFonts w:cs="Calibri"/>
        </w:rPr>
        <w:t xml:space="preserve"> de dinâmica computacional de fluidos [CFD, na sigla em inglês] </w:t>
      </w:r>
      <w:r w:rsidR="00FC369F">
        <w:rPr>
          <w:rFonts w:cs="Calibri"/>
        </w:rPr>
        <w:t xml:space="preserve">surgem como uma possibilidade viável, pois </w:t>
      </w:r>
      <w:r w:rsidR="00FC369F" w:rsidRPr="00411454">
        <w:rPr>
          <w:rFonts w:cs="Calibri"/>
        </w:rPr>
        <w:t>são capazes de simular a dinâmica do fogo, a propagação do calor e a dispersão da fumaça</w:t>
      </w:r>
      <w:r w:rsidR="00FC369F">
        <w:rPr>
          <w:rFonts w:cs="Calibri"/>
        </w:rPr>
        <w:t>. A</w:t>
      </w:r>
      <w:r w:rsidR="00411454" w:rsidRPr="00411454">
        <w:rPr>
          <w:rFonts w:cs="Calibri"/>
        </w:rPr>
        <w:t xml:space="preserve"> simulação computacional</w:t>
      </w:r>
      <w:r w:rsidR="00FC369F">
        <w:rPr>
          <w:rFonts w:cs="Calibri"/>
        </w:rPr>
        <w:t xml:space="preserve"> de incêndio</w:t>
      </w:r>
      <w:r w:rsidR="00411454" w:rsidRPr="00411454">
        <w:rPr>
          <w:rFonts w:cs="Calibri"/>
        </w:rPr>
        <w:t xml:space="preserve"> pode ser encarada como um instrumento complementar aos métodos experimentais ou à coleta de dados em </w:t>
      </w:r>
      <w:r w:rsidR="005F6331">
        <w:rPr>
          <w:rFonts w:cs="Calibri"/>
        </w:rPr>
        <w:t>incêndios pregressos</w:t>
      </w:r>
      <w:r w:rsidR="00411454" w:rsidRPr="00411454">
        <w:rPr>
          <w:rFonts w:cs="Calibri"/>
        </w:rPr>
        <w:t xml:space="preserve">, pois permite a análise de múltiplas alternativas sem os riscos ou os custos inerentes aos métodos laboratoriais ou ocasionais. </w:t>
      </w:r>
      <w:r w:rsidR="00EF3143" w:rsidRPr="00EF3143">
        <w:rPr>
          <w:rFonts w:cs="Calibri"/>
        </w:rPr>
        <w:t xml:space="preserve">Todavia, sabe-se que a aceitação da avaliação de desempenho por meio da simulação computacional não é consensual, pois ainda </w:t>
      </w:r>
      <w:r w:rsidR="00BD0D06">
        <w:rPr>
          <w:rFonts w:cs="Calibri"/>
        </w:rPr>
        <w:t>“e</w:t>
      </w:r>
      <w:r w:rsidR="00BD0D06" w:rsidRPr="00BD0D06">
        <w:rPr>
          <w:rFonts w:cs="Calibri"/>
        </w:rPr>
        <w:t xml:space="preserve">xistem dúvidas em relação ao desempenho dos </w:t>
      </w:r>
      <w:r w:rsidR="00BD0D06" w:rsidRPr="00C82466">
        <w:rPr>
          <w:rFonts w:cs="Calibri"/>
          <w:i/>
        </w:rPr>
        <w:t>softwares</w:t>
      </w:r>
      <w:r w:rsidR="00BD0D06" w:rsidRPr="00BD0D06">
        <w:rPr>
          <w:rFonts w:cs="Calibri"/>
        </w:rPr>
        <w:t xml:space="preserve"> e </w:t>
      </w:r>
      <w:proofErr w:type="gramStart"/>
      <w:r w:rsidR="00BD0D06" w:rsidRPr="00BD0D06">
        <w:rPr>
          <w:rFonts w:cs="Calibri"/>
        </w:rPr>
        <w:t>incerteza se são</w:t>
      </w:r>
      <w:proofErr w:type="gramEnd"/>
      <w:r w:rsidR="00BD0D06" w:rsidRPr="00BD0D06">
        <w:rPr>
          <w:rFonts w:cs="Calibri"/>
        </w:rPr>
        <w:t xml:space="preserve"> capazes de reproduzir as condiçõe</w:t>
      </w:r>
      <w:r w:rsidR="00BD0D06">
        <w:rPr>
          <w:rFonts w:cs="Calibri"/>
        </w:rPr>
        <w:t>s ocorridas em um incêndio real</w:t>
      </w:r>
      <w:r w:rsidR="00BD0D06" w:rsidRPr="00332962">
        <w:rPr>
          <w:rFonts w:cs="Calibri"/>
        </w:rPr>
        <w:t>”</w:t>
      </w:r>
      <w:r w:rsidR="00EF3143" w:rsidRPr="00332962">
        <w:rPr>
          <w:rFonts w:cs="Calibri"/>
        </w:rPr>
        <w:t xml:space="preserve"> (RUSCHEL, 2011</w:t>
      </w:r>
      <w:r w:rsidR="00BD0D06" w:rsidRPr="00332962">
        <w:rPr>
          <w:rFonts w:cs="Calibri"/>
        </w:rPr>
        <w:t>, p. 19</w:t>
      </w:r>
      <w:r w:rsidR="00EF3143" w:rsidRPr="00332962">
        <w:rPr>
          <w:rFonts w:cs="Calibri"/>
        </w:rPr>
        <w:t>).</w:t>
      </w:r>
      <w:r w:rsidR="00EF3143" w:rsidRPr="00EF3143">
        <w:rPr>
          <w:rFonts w:cs="Calibri"/>
        </w:rPr>
        <w:t xml:space="preserve"> Nesse sentido, o autor do presente trabalho compartilha a opinião </w:t>
      </w:r>
      <w:r w:rsidR="00EF3143" w:rsidRPr="00332962">
        <w:rPr>
          <w:rFonts w:cs="Calibri"/>
        </w:rPr>
        <w:t xml:space="preserve">de Silva (2014), </w:t>
      </w:r>
      <w:r w:rsidR="005F6331">
        <w:rPr>
          <w:rFonts w:cs="Calibri"/>
        </w:rPr>
        <w:t>ao</w:t>
      </w:r>
      <w:r w:rsidR="00EF3143" w:rsidRPr="00EF3143">
        <w:rPr>
          <w:rFonts w:cs="Calibri"/>
        </w:rPr>
        <w:t xml:space="preserve"> afirma</w:t>
      </w:r>
      <w:r w:rsidR="005F6331">
        <w:rPr>
          <w:rFonts w:cs="Calibri"/>
        </w:rPr>
        <w:t>r</w:t>
      </w:r>
      <w:r w:rsidR="00EF3143" w:rsidRPr="00EF3143">
        <w:rPr>
          <w:rFonts w:cs="Calibri"/>
        </w:rPr>
        <w:t xml:space="preserve"> que: “antes de se </w:t>
      </w:r>
      <w:r w:rsidR="00EF3143" w:rsidRPr="00EF3143">
        <w:rPr>
          <w:rFonts w:cs="Calibri"/>
        </w:rPr>
        <w:lastRenderedPageBreak/>
        <w:t>avançar para modelos computacionais, devem-se conhecer os métodos prescritivos e os conceitos sobre o tema</w:t>
      </w:r>
      <w:r w:rsidR="00EF3143" w:rsidRPr="00332962">
        <w:rPr>
          <w:rFonts w:cs="Calibri"/>
        </w:rPr>
        <w:t>” (SILVA, 2014, p. 107).</w:t>
      </w:r>
    </w:p>
    <w:p w14:paraId="2621CE57" w14:textId="77777777" w:rsidR="00D45A80" w:rsidRDefault="00D45A80" w:rsidP="00594732">
      <w:pPr>
        <w:autoSpaceDE w:val="0"/>
        <w:autoSpaceDN w:val="0"/>
        <w:adjustRightInd w:val="0"/>
        <w:spacing w:after="0" w:line="240" w:lineRule="auto"/>
        <w:rPr>
          <w:rFonts w:cs="Calibri"/>
          <w:b/>
          <w:sz w:val="24"/>
          <w:szCs w:val="24"/>
        </w:rPr>
      </w:pPr>
    </w:p>
    <w:p w14:paraId="0DBCFC14" w14:textId="3C97C9B4" w:rsidR="00CF1E74" w:rsidRPr="00594732" w:rsidRDefault="008C3121" w:rsidP="00594732">
      <w:pPr>
        <w:autoSpaceDE w:val="0"/>
        <w:autoSpaceDN w:val="0"/>
        <w:adjustRightInd w:val="0"/>
        <w:spacing w:after="0" w:line="240" w:lineRule="auto"/>
        <w:rPr>
          <w:rFonts w:cs="Calibri"/>
          <w:b/>
          <w:sz w:val="24"/>
          <w:szCs w:val="24"/>
        </w:rPr>
      </w:pPr>
      <w:r>
        <w:rPr>
          <w:rFonts w:cs="Calibri"/>
          <w:b/>
          <w:sz w:val="24"/>
          <w:szCs w:val="24"/>
        </w:rPr>
        <w:t>Compartimentação horizontal ‘seletiva’</w:t>
      </w:r>
      <w:r w:rsidR="00D45A80">
        <w:rPr>
          <w:rFonts w:cs="Calibri"/>
          <w:b/>
          <w:sz w:val="24"/>
          <w:szCs w:val="24"/>
        </w:rPr>
        <w:t>.</w:t>
      </w:r>
    </w:p>
    <w:p w14:paraId="0C54EBDA" w14:textId="4C2BD302" w:rsidR="008C3121" w:rsidRPr="008C3121" w:rsidRDefault="008C3121" w:rsidP="008C3121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8C3121">
        <w:rPr>
          <w:rFonts w:cs="Calibri"/>
        </w:rPr>
        <w:t xml:space="preserve">Observando as prescrições normativas, percebe-se que subdivisões realizadas durante a fase de ocupação dificilmente seriam aceitas como elementos de compartimentação, pois não atendem de modo satisfatório aos requisitos de isolamento, estanqueidade, e, principalmente, integridade em uma situação de incêndio. </w:t>
      </w:r>
      <w:r w:rsidR="005F6331">
        <w:rPr>
          <w:rFonts w:cs="Calibri"/>
        </w:rPr>
        <w:t xml:space="preserve">Todavia, há de se reconhecer que </w:t>
      </w:r>
      <w:r w:rsidRPr="008C3121">
        <w:rPr>
          <w:rFonts w:cs="Calibri"/>
        </w:rPr>
        <w:t xml:space="preserve">espaços parcialmente compartimentados podem apresentar desempenho superior de SCI em relação ao vão livre, desde que as divisórias não configurem obstáculos às saídas de emergência. Ainda </w:t>
      </w:r>
      <w:r w:rsidR="008C29A3">
        <w:rPr>
          <w:rFonts w:cs="Calibri"/>
        </w:rPr>
        <w:t>nessa</w:t>
      </w:r>
      <w:r w:rsidRPr="008C3121">
        <w:rPr>
          <w:rFonts w:cs="Calibri"/>
        </w:rPr>
        <w:t xml:space="preserve"> linha do raciocínio é possível identificar um relevante ponto levantado </w:t>
      </w:r>
      <w:r w:rsidRPr="00332962">
        <w:rPr>
          <w:rFonts w:cs="Calibri"/>
        </w:rPr>
        <w:t>por Costa, Ono e Silva (2005), no</w:t>
      </w:r>
      <w:r w:rsidRPr="008C3121">
        <w:rPr>
          <w:rFonts w:cs="Calibri"/>
        </w:rPr>
        <w:t xml:space="preserve"> artigo que trata da relação entre compartimentação e o dimensionamento das estruturas de concreto:</w:t>
      </w:r>
    </w:p>
    <w:p w14:paraId="30E8C790" w14:textId="77777777" w:rsidR="008C3121" w:rsidRPr="008C3121" w:rsidRDefault="008C3121" w:rsidP="004D2598">
      <w:pPr>
        <w:pStyle w:val="Citao"/>
      </w:pPr>
      <w:r w:rsidRPr="008C3121">
        <w:t>“Não foi encontrada a diferenciação entre compartimentação ao calor e à fumaça. A fumaça tóxica, embora responsável pela maior parte dos óbitos em incêndios, não causa prejuízo às estruturas. São possíveis compartimentos contendo aberturas que permitem apenas a passagem de fumaça</w:t>
      </w:r>
      <w:proofErr w:type="gramStart"/>
      <w:r w:rsidRPr="008C3121">
        <w:t xml:space="preserve"> mas</w:t>
      </w:r>
      <w:proofErr w:type="gramEnd"/>
      <w:r w:rsidRPr="008C3121">
        <w:t xml:space="preserve">, na existência de baixa carga de incêndio, é improvável a transferência de chamas ou calor significativo. A legislação deve prever a diferença entre compartimentar o calor ou a </w:t>
      </w:r>
      <w:r w:rsidRPr="00332962">
        <w:t>fumaça” (Costa, Ono e Silva, 2005, p. 24).</w:t>
      </w:r>
    </w:p>
    <w:p w14:paraId="48F41049" w14:textId="0EF33094" w:rsidR="00594732" w:rsidRDefault="008C3121" w:rsidP="008C3121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8C3121">
        <w:rPr>
          <w:rFonts w:cs="Calibri"/>
        </w:rPr>
        <w:t xml:space="preserve">A preocupação originalmente exposta no artigo com as estruturas de concreto pode ser estendida para proteção dos ocupantes. Logo, condensando as assertivas dos autores citados, torna-se plausível a ideia de que um elemento de vedação </w:t>
      </w:r>
      <w:r w:rsidR="009C61F2">
        <w:rPr>
          <w:rFonts w:cs="Calibri"/>
        </w:rPr>
        <w:t xml:space="preserve">vertical </w:t>
      </w:r>
      <w:r w:rsidRPr="008C3121">
        <w:rPr>
          <w:rFonts w:cs="Calibri"/>
        </w:rPr>
        <w:t>provido de aberturas para exaustão da fumaça, mas capaz de confinar chamas e calor no ambiente de origem, poderia proporcionar melhores condições de escape aos ocupantes da edificação em uma situação de incêndio. Tomou-se a liberdade de denominar esse sistema de ‘compartimentação seletiva’.</w:t>
      </w:r>
    </w:p>
    <w:p w14:paraId="49AF5733" w14:textId="77777777" w:rsidR="00594732" w:rsidRDefault="00594732" w:rsidP="00594732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14:paraId="06DD8896" w14:textId="4E3D0B0A" w:rsidR="00594732" w:rsidRDefault="001D5A9F" w:rsidP="001D5A9F">
      <w:pPr>
        <w:keepNext/>
        <w:autoSpaceDE w:val="0"/>
        <w:autoSpaceDN w:val="0"/>
        <w:adjustRightInd w:val="0"/>
        <w:spacing w:after="0" w:line="240" w:lineRule="auto"/>
        <w:rPr>
          <w:rFonts w:cs="Calibri"/>
          <w:b/>
          <w:sz w:val="24"/>
          <w:szCs w:val="24"/>
        </w:rPr>
      </w:pPr>
      <w:r>
        <w:rPr>
          <w:rFonts w:cs="Calibri"/>
          <w:b/>
          <w:sz w:val="24"/>
          <w:szCs w:val="24"/>
        </w:rPr>
        <w:t>Materiais e procedimentos</w:t>
      </w:r>
    </w:p>
    <w:p w14:paraId="3157EF2E" w14:textId="157F7A54" w:rsidR="001E4E7A" w:rsidRPr="001E4E7A" w:rsidRDefault="001E4E7A" w:rsidP="001E4E7A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u w:val="single"/>
        </w:rPr>
      </w:pPr>
      <w:r w:rsidRPr="001E4E7A">
        <w:rPr>
          <w:rFonts w:cs="Calibri"/>
          <w:u w:val="single"/>
        </w:rPr>
        <w:t>O modelo</w:t>
      </w:r>
    </w:p>
    <w:p w14:paraId="2A6F267B" w14:textId="77777777" w:rsidR="009C61F2" w:rsidRDefault="00FD074A" w:rsidP="00FD074A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FD074A">
        <w:rPr>
          <w:rFonts w:cs="Calibri"/>
        </w:rPr>
        <w:t>O modelo escolhido refere-se à sala de aula de maior dimensão, localizada no pavimento superior do</w:t>
      </w:r>
      <w:r w:rsidR="009C61F2">
        <w:rPr>
          <w:rFonts w:cs="Calibri"/>
        </w:rPr>
        <w:t xml:space="preserve"> projeto denominado:</w:t>
      </w:r>
      <w:r w:rsidRPr="00FD074A">
        <w:rPr>
          <w:rFonts w:cs="Calibri"/>
        </w:rPr>
        <w:t xml:space="preserve"> </w:t>
      </w:r>
      <w:r w:rsidR="009C61F2">
        <w:rPr>
          <w:rFonts w:cs="Calibri"/>
        </w:rPr>
        <w:t>“</w:t>
      </w:r>
      <w:r w:rsidR="000B058E">
        <w:rPr>
          <w:rFonts w:cs="Calibri"/>
        </w:rPr>
        <w:t>Bloco de salas de aulas de dois pavimentos</w:t>
      </w:r>
      <w:r w:rsidR="009C61F2">
        <w:rPr>
          <w:rFonts w:cs="Calibri"/>
        </w:rPr>
        <w:t>”</w:t>
      </w:r>
      <w:r w:rsidR="000B058E">
        <w:rPr>
          <w:rFonts w:cs="Calibri"/>
        </w:rPr>
        <w:t xml:space="preserve">, desenvolvido pela Superintendência de Infraestrutura da Universidade Federal do Semiárido </w:t>
      </w:r>
      <w:r w:rsidRPr="00FD074A">
        <w:rPr>
          <w:rFonts w:cs="Calibri"/>
        </w:rPr>
        <w:t xml:space="preserve">– </w:t>
      </w:r>
      <w:r w:rsidRPr="00FD074A">
        <w:rPr>
          <w:rFonts w:cs="Calibri"/>
        </w:rPr>
        <w:lastRenderedPageBreak/>
        <w:t>SIN/UFERSA. A escolha desse ambiente deve-se à possibilidade de múltiplos leiautes, como pode ser confirmado tanto no projeto base,</w:t>
      </w:r>
      <w:r w:rsidR="009C61F2">
        <w:rPr>
          <w:rFonts w:cs="Calibri"/>
        </w:rPr>
        <w:t xml:space="preserve"> quanto nos projetos derivados.</w:t>
      </w:r>
    </w:p>
    <w:p w14:paraId="057BD289" w14:textId="749A6FF1" w:rsidR="00FD074A" w:rsidRDefault="00FD074A" w:rsidP="00FD074A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FD074A">
        <w:rPr>
          <w:rFonts w:cs="Calibri"/>
        </w:rPr>
        <w:t xml:space="preserve">Com base nas medidas e </w:t>
      </w:r>
      <w:r w:rsidR="009C61F2">
        <w:rPr>
          <w:rFonts w:cs="Calibri"/>
        </w:rPr>
        <w:t xml:space="preserve">nas </w:t>
      </w:r>
      <w:r w:rsidRPr="00FD074A">
        <w:rPr>
          <w:rFonts w:cs="Calibri"/>
        </w:rPr>
        <w:t>descrições do projeto arquitetônico do referido prédio, afere-se que o modelo constitui-se de um prisma de base retangular, medindo 7,10 x 11,90 x 3,80 m [largura x cumprimento x altura].</w:t>
      </w:r>
      <w:r w:rsidR="009C61F2">
        <w:rPr>
          <w:rFonts w:cs="Calibri"/>
        </w:rPr>
        <w:t xml:space="preserve"> </w:t>
      </w:r>
      <w:r w:rsidR="001E4E7A">
        <w:rPr>
          <w:rFonts w:cs="Calibri"/>
        </w:rPr>
        <w:t>A</w:t>
      </w:r>
      <w:r w:rsidRPr="00FD074A">
        <w:rPr>
          <w:rFonts w:cs="Calibri"/>
        </w:rPr>
        <w:t xml:space="preserve"> sala livre de divisórias, doravante denominada ‘caso base’, </w:t>
      </w:r>
      <w:r w:rsidR="001E4E7A">
        <w:rPr>
          <w:rFonts w:cs="Calibri"/>
        </w:rPr>
        <w:t>dispõem de</w:t>
      </w:r>
      <w:r w:rsidRPr="00FD074A">
        <w:rPr>
          <w:rFonts w:cs="Calibri"/>
        </w:rPr>
        <w:t xml:space="preserve"> duas portas de 0,90 x 2,10 m [largura x altura]</w:t>
      </w:r>
      <w:r w:rsidR="009C61F2">
        <w:rPr>
          <w:rFonts w:cs="Calibri"/>
        </w:rPr>
        <w:t>,</w:t>
      </w:r>
      <w:r w:rsidRPr="00FD074A">
        <w:rPr>
          <w:rFonts w:cs="Calibri"/>
        </w:rPr>
        <w:t xml:space="preserve"> </w:t>
      </w:r>
      <w:r w:rsidR="009C61F2">
        <w:rPr>
          <w:rFonts w:cs="Calibri"/>
        </w:rPr>
        <w:t>providas de</w:t>
      </w:r>
      <w:r w:rsidRPr="00FD074A">
        <w:rPr>
          <w:rFonts w:cs="Calibri"/>
        </w:rPr>
        <w:t xml:space="preserve"> bandeirola de vidro fixo com altura de 0,40 m, dispostas nas extremidades da parede voltada para o corredor central. As quatro janelas, dispostas na parede oposta à porta, medem 2,50 x 1,00 x 1,10 m [largura x altura x peitoril] e são voltadas para o meio externo. O forro é de placas termoacústicas removíveis, apoiadas sobre armação de alumínio. As paredes de </w:t>
      </w:r>
      <w:r w:rsidR="009C61F2">
        <w:rPr>
          <w:rFonts w:cs="Calibri"/>
        </w:rPr>
        <w:t>envoltória</w:t>
      </w:r>
      <w:r w:rsidRPr="00FD074A">
        <w:rPr>
          <w:rFonts w:cs="Calibri"/>
        </w:rPr>
        <w:t xml:space="preserve"> são de alvenaria convencional, </w:t>
      </w:r>
      <w:r w:rsidR="009C61F2">
        <w:rPr>
          <w:rFonts w:cs="Calibri"/>
        </w:rPr>
        <w:t>emassadas e</w:t>
      </w:r>
      <w:r w:rsidRPr="00FD074A">
        <w:rPr>
          <w:rFonts w:cs="Calibri"/>
        </w:rPr>
        <w:t xml:space="preserve"> pintadas em ambas às faces. Piso e cobertura são de laje de concreto pré-moldado, tipo volterrana.</w:t>
      </w:r>
    </w:p>
    <w:p w14:paraId="296DF8AC" w14:textId="7F8ACCCE" w:rsidR="00FD074A" w:rsidRPr="00FD074A" w:rsidRDefault="00FD074A" w:rsidP="00FD074A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FD074A">
        <w:rPr>
          <w:rFonts w:cs="Calibri"/>
        </w:rPr>
        <w:t xml:space="preserve">A partir do </w:t>
      </w:r>
      <w:r w:rsidR="009C61F2">
        <w:rPr>
          <w:rFonts w:cs="Calibri"/>
        </w:rPr>
        <w:t>‘caso-</w:t>
      </w:r>
      <w:r w:rsidRPr="00FD074A">
        <w:rPr>
          <w:rFonts w:cs="Calibri"/>
        </w:rPr>
        <w:t>base</w:t>
      </w:r>
      <w:r w:rsidR="009C61F2">
        <w:rPr>
          <w:rFonts w:cs="Calibri"/>
        </w:rPr>
        <w:t>’</w:t>
      </w:r>
      <w:r w:rsidRPr="00FD074A">
        <w:rPr>
          <w:rFonts w:cs="Calibri"/>
        </w:rPr>
        <w:t xml:space="preserve"> [CB], foram considerados 17 variações de subdivisão do ambiente original. O primeiro c</w:t>
      </w:r>
      <w:r w:rsidR="009C61F2">
        <w:rPr>
          <w:rFonts w:cs="Calibri"/>
        </w:rPr>
        <w:t xml:space="preserve">aso, doravante denominado ‘DIV’, </w:t>
      </w:r>
      <w:r w:rsidRPr="00FD074A">
        <w:rPr>
          <w:rFonts w:cs="Calibri"/>
        </w:rPr>
        <w:t xml:space="preserve">representa </w:t>
      </w:r>
      <w:r w:rsidR="009C61F2">
        <w:rPr>
          <w:rFonts w:cs="Calibri"/>
        </w:rPr>
        <w:t xml:space="preserve">o </w:t>
      </w:r>
      <w:r w:rsidR="009C61F2" w:rsidRPr="009C61F2">
        <w:rPr>
          <w:rFonts w:cs="Calibri"/>
        </w:rPr>
        <w:t>particionamento</w:t>
      </w:r>
      <w:r w:rsidR="009C61F2">
        <w:rPr>
          <w:rFonts w:cs="Calibri"/>
        </w:rPr>
        <w:t xml:space="preserve"> tradicional,</w:t>
      </w:r>
      <w:r w:rsidRPr="00FD074A">
        <w:rPr>
          <w:rFonts w:cs="Calibri"/>
        </w:rPr>
        <w:t xml:space="preserve"> </w:t>
      </w:r>
      <w:r w:rsidR="009C61F2">
        <w:rPr>
          <w:rFonts w:cs="Calibri"/>
        </w:rPr>
        <w:t>onde</w:t>
      </w:r>
      <w:r w:rsidRPr="00FD074A">
        <w:rPr>
          <w:rFonts w:cs="Calibri"/>
        </w:rPr>
        <w:t xml:space="preserve"> </w:t>
      </w:r>
      <w:r w:rsidR="009C61F2">
        <w:rPr>
          <w:rFonts w:cs="Calibri"/>
        </w:rPr>
        <w:t>a sala é dividida</w:t>
      </w:r>
      <w:r w:rsidRPr="00FD074A">
        <w:rPr>
          <w:rFonts w:cs="Calibri"/>
        </w:rPr>
        <w:t xml:space="preserve"> ao meio por uma divisória simples</w:t>
      </w:r>
      <w:r w:rsidR="009C61F2">
        <w:rPr>
          <w:rFonts w:cs="Calibri"/>
        </w:rPr>
        <w:t>,</w:t>
      </w:r>
      <w:r w:rsidRPr="00FD074A">
        <w:rPr>
          <w:rFonts w:cs="Calibri"/>
        </w:rPr>
        <w:t xml:space="preserve"> posicionada transversalmente no centro da sala. Os casos ‘CB’ e ‘DIV’ servem como referência para a avaliação do desempenho dos demais casos, os quais representam propostas de compartimentação horizontal seletiva.</w:t>
      </w:r>
    </w:p>
    <w:p w14:paraId="47755C9E" w14:textId="2CF872E2" w:rsidR="00FD074A" w:rsidRDefault="00FD074A" w:rsidP="00FD074A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FD074A">
        <w:rPr>
          <w:rFonts w:cs="Calibri"/>
        </w:rPr>
        <w:t xml:space="preserve">A compartimentação horizontal seletiva, ora proposta, </w:t>
      </w:r>
      <w:proofErr w:type="gramStart"/>
      <w:r w:rsidRPr="00FD074A">
        <w:rPr>
          <w:rFonts w:cs="Calibri"/>
        </w:rPr>
        <w:t>resulta</w:t>
      </w:r>
      <w:proofErr w:type="gramEnd"/>
      <w:r w:rsidRPr="00FD074A">
        <w:rPr>
          <w:rFonts w:cs="Calibri"/>
        </w:rPr>
        <w:t xml:space="preserve"> da disposição de duas divisórias paralelas, providas de aberturas posicionadas próximas ao forro, voltadas alternadamente para as salas geradas a partir da subdivisão do ambiente original. O vão entre as divisórias é dividido ao meio, para evitar que a fumaça gerada em um ambiente invada a sala oposta. Por fim, foram concebidas aberturas nas lajes para a exaustão da fumaça para o meio externo. </w:t>
      </w:r>
      <w:r w:rsidR="00274EF6">
        <w:rPr>
          <w:rFonts w:cs="Calibri"/>
        </w:rPr>
        <w:t>(</w:t>
      </w:r>
      <w:r w:rsidR="00274EF6">
        <w:rPr>
          <w:rFonts w:cs="Calibri"/>
        </w:rPr>
        <w:fldChar w:fldCharType="begin"/>
      </w:r>
      <w:r w:rsidR="00274EF6">
        <w:rPr>
          <w:rFonts w:cs="Calibri"/>
        </w:rPr>
        <w:instrText xml:space="preserve"> REF _Ref439962890 \h </w:instrText>
      </w:r>
      <w:r w:rsidR="00274EF6">
        <w:rPr>
          <w:rFonts w:cs="Calibri"/>
        </w:rPr>
      </w:r>
      <w:r w:rsidR="00274EF6">
        <w:rPr>
          <w:rFonts w:cs="Calibri"/>
        </w:rPr>
        <w:fldChar w:fldCharType="separate"/>
      </w:r>
      <w:r w:rsidR="00C224B1" w:rsidRPr="00274EF6">
        <w:t xml:space="preserve">Figura </w:t>
      </w:r>
      <w:r w:rsidR="00C224B1">
        <w:rPr>
          <w:noProof/>
        </w:rPr>
        <w:t>1</w:t>
      </w:r>
      <w:r w:rsidR="00274EF6">
        <w:rPr>
          <w:rFonts w:cs="Calibri"/>
        </w:rPr>
        <w:fldChar w:fldCharType="end"/>
      </w:r>
      <w:r w:rsidR="00274EF6">
        <w:rPr>
          <w:rFonts w:cs="Calibri"/>
        </w:rPr>
        <w:t>)</w:t>
      </w:r>
      <w:r w:rsidR="00340833">
        <w:rPr>
          <w:rFonts w:cs="Calibri"/>
        </w:rPr>
        <w:t>.</w:t>
      </w:r>
    </w:p>
    <w:p w14:paraId="14258F97" w14:textId="5FE13614" w:rsidR="00594732" w:rsidRDefault="004E7E35" w:rsidP="00FD074A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>
        <w:rPr>
          <w:rFonts w:cs="Calibri"/>
        </w:rPr>
        <w:t>A altura da</w:t>
      </w:r>
      <w:r w:rsidR="001E4E7A" w:rsidRPr="00FD074A">
        <w:rPr>
          <w:rFonts w:cs="Calibri"/>
        </w:rPr>
        <w:t xml:space="preserve"> abertura na divisória</w:t>
      </w:r>
      <w:r w:rsidR="001E4E7A">
        <w:rPr>
          <w:rFonts w:cs="Calibri"/>
        </w:rPr>
        <w:t xml:space="preserve"> (representado pela letra H na </w:t>
      </w:r>
      <w:r w:rsidR="001E4E7A">
        <w:rPr>
          <w:rFonts w:cs="Calibri"/>
        </w:rPr>
        <w:fldChar w:fldCharType="begin"/>
      </w:r>
      <w:r w:rsidR="001E4E7A">
        <w:rPr>
          <w:rFonts w:cs="Calibri"/>
        </w:rPr>
        <w:instrText xml:space="preserve"> REF _Ref439962890 \h </w:instrText>
      </w:r>
      <w:r w:rsidR="001E4E7A">
        <w:rPr>
          <w:rFonts w:cs="Calibri"/>
        </w:rPr>
      </w:r>
      <w:r w:rsidR="001E4E7A">
        <w:rPr>
          <w:rFonts w:cs="Calibri"/>
        </w:rPr>
        <w:fldChar w:fldCharType="separate"/>
      </w:r>
      <w:r w:rsidR="00C224B1" w:rsidRPr="00274EF6">
        <w:t xml:space="preserve">Figura </w:t>
      </w:r>
      <w:r w:rsidR="00C224B1">
        <w:rPr>
          <w:noProof/>
        </w:rPr>
        <w:t>1</w:t>
      </w:r>
      <w:r w:rsidR="001E4E7A">
        <w:rPr>
          <w:rFonts w:cs="Calibri"/>
        </w:rPr>
        <w:fldChar w:fldCharType="end"/>
      </w:r>
      <w:r w:rsidR="001E4E7A">
        <w:rPr>
          <w:rFonts w:cs="Calibri"/>
        </w:rPr>
        <w:t xml:space="preserve">) </w:t>
      </w:r>
      <w:r>
        <w:rPr>
          <w:rFonts w:cs="Calibri"/>
        </w:rPr>
        <w:t xml:space="preserve">e a largura do </w:t>
      </w:r>
      <w:r w:rsidR="001E4E7A" w:rsidRPr="00FD074A">
        <w:rPr>
          <w:rFonts w:cs="Calibri"/>
        </w:rPr>
        <w:t>vão na laje</w:t>
      </w:r>
      <w:r w:rsidR="001E4E7A">
        <w:rPr>
          <w:rFonts w:cs="Calibri"/>
        </w:rPr>
        <w:t xml:space="preserve"> (representado pela letra L na </w:t>
      </w:r>
      <w:r w:rsidR="001E4E7A">
        <w:rPr>
          <w:rFonts w:cs="Calibri"/>
        </w:rPr>
        <w:fldChar w:fldCharType="begin"/>
      </w:r>
      <w:r w:rsidR="001E4E7A">
        <w:rPr>
          <w:rFonts w:cs="Calibri"/>
        </w:rPr>
        <w:instrText xml:space="preserve"> REF _Ref439962890 \h </w:instrText>
      </w:r>
      <w:r w:rsidR="001E4E7A">
        <w:rPr>
          <w:rFonts w:cs="Calibri"/>
        </w:rPr>
      </w:r>
      <w:r w:rsidR="001E4E7A">
        <w:rPr>
          <w:rFonts w:cs="Calibri"/>
        </w:rPr>
        <w:fldChar w:fldCharType="separate"/>
      </w:r>
      <w:r w:rsidR="00C224B1" w:rsidRPr="00274EF6">
        <w:t xml:space="preserve">Figura </w:t>
      </w:r>
      <w:r w:rsidR="00C224B1">
        <w:rPr>
          <w:noProof/>
        </w:rPr>
        <w:t>1</w:t>
      </w:r>
      <w:r w:rsidR="001E4E7A">
        <w:rPr>
          <w:rFonts w:cs="Calibri"/>
        </w:rPr>
        <w:fldChar w:fldCharType="end"/>
      </w:r>
      <w:r w:rsidR="001E4E7A">
        <w:rPr>
          <w:rFonts w:cs="Calibri"/>
        </w:rPr>
        <w:t>)</w:t>
      </w:r>
      <w:r w:rsidR="001E4E7A" w:rsidRPr="00FD074A">
        <w:rPr>
          <w:rFonts w:cs="Calibri"/>
        </w:rPr>
        <w:t xml:space="preserve"> </w:t>
      </w:r>
      <w:r>
        <w:rPr>
          <w:rFonts w:cs="Calibri"/>
        </w:rPr>
        <w:t xml:space="preserve">foram </w:t>
      </w:r>
      <w:proofErr w:type="gramStart"/>
      <w:r>
        <w:rPr>
          <w:rFonts w:cs="Calibri"/>
        </w:rPr>
        <w:t>dimensionados</w:t>
      </w:r>
      <w:proofErr w:type="gramEnd"/>
      <w:r>
        <w:rPr>
          <w:rFonts w:cs="Calibri"/>
        </w:rPr>
        <w:t xml:space="preserve"> </w:t>
      </w:r>
      <w:r w:rsidR="001E4E7A" w:rsidRPr="00FD074A">
        <w:rPr>
          <w:rFonts w:cs="Calibri"/>
        </w:rPr>
        <w:t xml:space="preserve">com base em quatro medidas: 0,25 m; 0,50 m; 0,75 m e 1,00 m. A largura da abertura na divisória e o comprimento do vão na laje </w:t>
      </w:r>
      <w:r>
        <w:rPr>
          <w:rFonts w:cs="Calibri"/>
        </w:rPr>
        <w:t>e de 3,00 m em todos os casos</w:t>
      </w:r>
      <w:r w:rsidR="001E4E7A" w:rsidRPr="00FD074A">
        <w:rPr>
          <w:rFonts w:cs="Calibri"/>
        </w:rPr>
        <w:t xml:space="preserve">. Dessa maneira, os dezesseis casos de compartimentação seletiva correspondem às combinações possíveis entre as quatro alturas da abertura na divisória e as quatro larguras do vão da laje. Em todos os casos, foram simuladas duas situações, </w:t>
      </w:r>
      <w:r w:rsidR="001E4E7A" w:rsidRPr="00FD074A">
        <w:rPr>
          <w:rFonts w:cs="Calibri"/>
        </w:rPr>
        <w:lastRenderedPageBreak/>
        <w:t>considerando as esquadrias do ambiente incendiado fechadas ou abertas [</w:t>
      </w:r>
      <w:r w:rsidR="00332962">
        <w:rPr>
          <w:rFonts w:cs="Calibri"/>
        </w:rPr>
        <w:t>essa última identificada</w:t>
      </w:r>
      <w:r w:rsidR="001E4E7A" w:rsidRPr="00FD074A">
        <w:rPr>
          <w:rFonts w:cs="Calibri"/>
        </w:rPr>
        <w:t xml:space="preserve"> pela terminação ‘_open’].</w:t>
      </w:r>
    </w:p>
    <w:p w14:paraId="58597092" w14:textId="782E3636" w:rsidR="007D5918" w:rsidRPr="00274EF6" w:rsidRDefault="007D5918" w:rsidP="007D5918">
      <w:pPr>
        <w:pStyle w:val="Legenda"/>
      </w:pPr>
      <w:bookmarkStart w:id="0" w:name="_Ref439962890"/>
      <w:r w:rsidRPr="00274EF6">
        <w:t xml:space="preserve">Figura </w:t>
      </w:r>
      <w:r w:rsidR="003A1856">
        <w:fldChar w:fldCharType="begin"/>
      </w:r>
      <w:r w:rsidR="003A1856">
        <w:instrText xml:space="preserve"> SEQ Figura \* ARABIC </w:instrText>
      </w:r>
      <w:r w:rsidR="003A1856">
        <w:fldChar w:fldCharType="separate"/>
      </w:r>
      <w:r w:rsidR="00C224B1">
        <w:rPr>
          <w:noProof/>
        </w:rPr>
        <w:t>1</w:t>
      </w:r>
      <w:r w:rsidR="003A1856">
        <w:rPr>
          <w:noProof/>
        </w:rPr>
        <w:fldChar w:fldCharType="end"/>
      </w:r>
      <w:bookmarkEnd w:id="0"/>
      <w:r w:rsidRPr="00274EF6">
        <w:t xml:space="preserve">: </w:t>
      </w:r>
      <w:r w:rsidR="00C224B1">
        <w:t>Representação esquemática da compartimentação seletiva aplicada no m</w:t>
      </w:r>
      <w:r>
        <w:t>odelo adotado nas simulações</w:t>
      </w:r>
    </w:p>
    <w:p w14:paraId="1FF6A672" w14:textId="109034F1" w:rsidR="002E5DE3" w:rsidRDefault="005D2CD8" w:rsidP="007D5918">
      <w:pPr>
        <w:pStyle w:val="Figura"/>
      </w:pPr>
      <w:r>
        <w:rPr>
          <w:noProof/>
          <w:lang w:eastAsia="pt-BR"/>
        </w:rPr>
        <w:drawing>
          <wp:inline distT="0" distB="0" distL="0" distR="0" wp14:anchorId="074BB0C2" wp14:editId="6C13B747">
            <wp:extent cx="3240000" cy="2292563"/>
            <wp:effectExtent l="0" t="0" r="0" b="0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odelo.jpg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106" r="21061"/>
                    <a:stretch/>
                  </pic:blipFill>
                  <pic:spPr bwMode="auto">
                    <a:xfrm>
                      <a:off x="0" y="0"/>
                      <a:ext cx="3240000" cy="22925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54ED0D4" w14:textId="7AE65DFC" w:rsidR="0079335B" w:rsidRDefault="0079335B" w:rsidP="00594732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14:paraId="09EF4844" w14:textId="6C3F115D" w:rsidR="001E4E7A" w:rsidRPr="001E4E7A" w:rsidRDefault="001E4E7A" w:rsidP="00594732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u w:val="single"/>
        </w:rPr>
      </w:pPr>
      <w:proofErr w:type="spellStart"/>
      <w:r w:rsidRPr="00C224B1">
        <w:rPr>
          <w:rFonts w:cs="Calibri"/>
          <w:u w:val="single"/>
        </w:rPr>
        <w:t>Fire</w:t>
      </w:r>
      <w:proofErr w:type="spellEnd"/>
      <w:r w:rsidRPr="00C224B1">
        <w:rPr>
          <w:rFonts w:cs="Calibri"/>
          <w:u w:val="single"/>
        </w:rPr>
        <w:t xml:space="preserve"> Dynamics Simulator</w:t>
      </w:r>
      <w:r>
        <w:rPr>
          <w:rFonts w:cs="Calibri"/>
          <w:u w:val="single"/>
        </w:rPr>
        <w:t xml:space="preserve"> – FDS.</w:t>
      </w:r>
    </w:p>
    <w:p w14:paraId="043F42B8" w14:textId="6C8DAE8D" w:rsidR="001E4E7A" w:rsidRDefault="0022271E" w:rsidP="00594732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22271E">
        <w:rPr>
          <w:rFonts w:cs="Calibri"/>
        </w:rPr>
        <w:t xml:space="preserve">O </w:t>
      </w:r>
      <w:proofErr w:type="spellStart"/>
      <w:r w:rsidRPr="00C224B1">
        <w:rPr>
          <w:rFonts w:cs="Calibri"/>
          <w:i/>
        </w:rPr>
        <w:t>Fire</w:t>
      </w:r>
      <w:proofErr w:type="spellEnd"/>
      <w:r w:rsidRPr="00C224B1">
        <w:rPr>
          <w:rFonts w:cs="Calibri"/>
          <w:i/>
        </w:rPr>
        <w:t xml:space="preserve"> Dynamics Simulator</w:t>
      </w:r>
      <w:r w:rsidRPr="001E4E7A">
        <w:rPr>
          <w:rFonts w:cs="Calibri"/>
        </w:rPr>
        <w:t xml:space="preserve"> [FDS]</w:t>
      </w:r>
      <w:r>
        <w:rPr>
          <w:rFonts w:cs="Calibri"/>
        </w:rPr>
        <w:t xml:space="preserve"> é o </w:t>
      </w:r>
      <w:r w:rsidRPr="007645AF">
        <w:rPr>
          <w:rFonts w:cs="Calibri"/>
          <w:i/>
        </w:rPr>
        <w:t>software</w:t>
      </w:r>
      <w:r w:rsidRPr="0022271E">
        <w:rPr>
          <w:rFonts w:cs="Calibri"/>
        </w:rPr>
        <w:t xml:space="preserve"> mais recorrente na bibliografia pesquisada para simulação de incêndio</w:t>
      </w:r>
      <w:r>
        <w:rPr>
          <w:rFonts w:cs="Calibri"/>
        </w:rPr>
        <w:t xml:space="preserve">. </w:t>
      </w:r>
      <w:r w:rsidR="001E4E7A" w:rsidRPr="001E4E7A">
        <w:rPr>
          <w:rFonts w:cs="Calibri"/>
        </w:rPr>
        <w:t>Desde o seu desenvolvimento no ano 2000,</w:t>
      </w:r>
      <w:r>
        <w:rPr>
          <w:rFonts w:cs="Calibri"/>
        </w:rPr>
        <w:t xml:space="preserve"> </w:t>
      </w:r>
      <w:r>
        <w:t xml:space="preserve">pelo </w:t>
      </w:r>
      <w:proofErr w:type="spellStart"/>
      <w:r w:rsidRPr="004E7E35">
        <w:rPr>
          <w:i/>
        </w:rPr>
        <w:t>National</w:t>
      </w:r>
      <w:proofErr w:type="spellEnd"/>
      <w:r w:rsidRPr="004E7E35">
        <w:rPr>
          <w:i/>
        </w:rPr>
        <w:t xml:space="preserve"> </w:t>
      </w:r>
      <w:proofErr w:type="spellStart"/>
      <w:r w:rsidRPr="004E7E35">
        <w:rPr>
          <w:i/>
        </w:rPr>
        <w:t>Institute</w:t>
      </w:r>
      <w:proofErr w:type="spellEnd"/>
      <w:r w:rsidRPr="004E7E35">
        <w:rPr>
          <w:i/>
        </w:rPr>
        <w:t xml:space="preserve"> </w:t>
      </w:r>
      <w:proofErr w:type="spellStart"/>
      <w:r w:rsidRPr="004E7E35">
        <w:rPr>
          <w:i/>
        </w:rPr>
        <w:t>of</w:t>
      </w:r>
      <w:proofErr w:type="spellEnd"/>
      <w:r w:rsidRPr="004E7E35">
        <w:rPr>
          <w:i/>
        </w:rPr>
        <w:t xml:space="preserve"> Standards </w:t>
      </w:r>
      <w:proofErr w:type="spellStart"/>
      <w:r w:rsidRPr="004E7E35">
        <w:rPr>
          <w:i/>
        </w:rPr>
        <w:t>and</w:t>
      </w:r>
      <w:proofErr w:type="spellEnd"/>
      <w:r w:rsidRPr="004E7E35">
        <w:rPr>
          <w:i/>
        </w:rPr>
        <w:t xml:space="preserve"> Technology</w:t>
      </w:r>
      <w:r w:rsidRPr="003832C1">
        <w:t xml:space="preserve"> </w:t>
      </w:r>
      <w:r>
        <w:t>[NIST],</w:t>
      </w:r>
      <w:r w:rsidR="001E4E7A" w:rsidRPr="001E4E7A">
        <w:rPr>
          <w:rFonts w:cs="Calibri"/>
        </w:rPr>
        <w:t xml:space="preserve"> vem sendo utilizado na resolução de problemas de engenharia de segurança</w:t>
      </w:r>
      <w:r w:rsidR="004E7E35">
        <w:rPr>
          <w:rFonts w:cs="Calibri"/>
        </w:rPr>
        <w:t xml:space="preserve"> contra incêndio</w:t>
      </w:r>
      <w:r w:rsidR="001E4E7A" w:rsidRPr="001E4E7A">
        <w:rPr>
          <w:rFonts w:cs="Calibri"/>
        </w:rPr>
        <w:t xml:space="preserve"> e em pesquisas da dinâmica do fogo e da combustão. O FDS resolve numericamente as equações de mecânica dos fluidos voltadas para escoamentos de baixa velocidade, termicamente dirigido e com ênfase no transporte de calor e fumaça. A partir das simulações realizadas no FDS é possível conhecer, por exemplo: a formação, o deslocamento, a altura e a temperatura da camada de fumaça; a evolução das chamas e a taxa de oxigênio consumida durante o incêndio.</w:t>
      </w:r>
    </w:p>
    <w:p w14:paraId="14D9D75C" w14:textId="77777777" w:rsidR="00E07F15" w:rsidRDefault="00E07F15" w:rsidP="00594732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14:paraId="4BAE4748" w14:textId="69484C8C" w:rsidR="0079335B" w:rsidRPr="001E4E7A" w:rsidRDefault="0015545D" w:rsidP="001E4E7A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u w:val="single"/>
        </w:rPr>
      </w:pPr>
      <w:r w:rsidRPr="001E4E7A">
        <w:rPr>
          <w:rFonts w:cs="Calibri"/>
          <w:u w:val="single"/>
        </w:rPr>
        <w:t>Aspectos operacionais:</w:t>
      </w:r>
      <w:r w:rsidR="00405F9B" w:rsidRPr="001E4E7A">
        <w:rPr>
          <w:rFonts w:cs="Calibri"/>
          <w:u w:val="single"/>
        </w:rPr>
        <w:t xml:space="preserve"> Domínio</w:t>
      </w:r>
      <w:proofErr w:type="gramStart"/>
      <w:r w:rsidR="00405F9B" w:rsidRPr="001E4E7A">
        <w:rPr>
          <w:rFonts w:cs="Calibri"/>
          <w:u w:val="single"/>
        </w:rPr>
        <w:t>, malha</w:t>
      </w:r>
      <w:proofErr w:type="gramEnd"/>
      <w:r w:rsidR="00405F9B" w:rsidRPr="001E4E7A">
        <w:rPr>
          <w:rFonts w:cs="Calibri"/>
          <w:u w:val="single"/>
        </w:rPr>
        <w:t xml:space="preserve"> e </w:t>
      </w:r>
      <w:r w:rsidRPr="001E4E7A">
        <w:rPr>
          <w:rFonts w:cs="Calibri"/>
          <w:u w:val="single"/>
        </w:rPr>
        <w:t>condições de contorno</w:t>
      </w:r>
      <w:r w:rsidR="00EC2AC1">
        <w:rPr>
          <w:rFonts w:cs="Calibri"/>
          <w:u w:val="single"/>
        </w:rPr>
        <w:t>.</w:t>
      </w:r>
    </w:p>
    <w:p w14:paraId="5E7B7732" w14:textId="77777777" w:rsidR="00F24577" w:rsidRDefault="00F24577" w:rsidP="00F24577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F24577">
        <w:rPr>
          <w:rFonts w:cs="Calibri"/>
        </w:rPr>
        <w:t>A simulação de incêndio consiste em um ambiente virtual, denominado domínio, composto pelos elementos participantes do fenômeno físico de interesse. O domínio é subdividido em células justapostas, dentro das quais são solucionadas, repetidas vezes, as equações da mecânica dos fluidos. O conjunto destas células recebe o nome de malha.</w:t>
      </w:r>
    </w:p>
    <w:p w14:paraId="769A36B1" w14:textId="5F279973" w:rsidR="00F24577" w:rsidRDefault="000B3944" w:rsidP="00405F9B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>
        <w:rPr>
          <w:rFonts w:cs="Calibri"/>
        </w:rPr>
        <w:t xml:space="preserve">Observando as dimensões do modelo e a disposição das aberturas, optou-se por um domínio com recuos nos </w:t>
      </w:r>
      <w:r w:rsidR="004E7E35">
        <w:rPr>
          <w:rFonts w:cs="Calibri"/>
        </w:rPr>
        <w:t xml:space="preserve">eixos cartesianos </w:t>
      </w:r>
      <w:r>
        <w:rPr>
          <w:rFonts w:cs="Calibri"/>
        </w:rPr>
        <w:t xml:space="preserve">‘y’ e ‘z’, de modo que as paredes do </w:t>
      </w:r>
      <w:r>
        <w:rPr>
          <w:rFonts w:cs="Calibri"/>
        </w:rPr>
        <w:lastRenderedPageBreak/>
        <w:t xml:space="preserve">domínio não interferissem na exaustão de fumaça. A ausência de aberturas nas paredes laterais tornou </w:t>
      </w:r>
      <w:r w:rsidR="004E7E35">
        <w:rPr>
          <w:rFonts w:cs="Calibri"/>
        </w:rPr>
        <w:t xml:space="preserve">dispensável </w:t>
      </w:r>
      <w:r>
        <w:rPr>
          <w:rFonts w:cs="Calibri"/>
        </w:rPr>
        <w:t xml:space="preserve">a existência de recuos no eixo ‘x’. </w:t>
      </w:r>
      <w:r w:rsidR="00405F9B" w:rsidRPr="00405F9B">
        <w:rPr>
          <w:rFonts w:cs="Calibri"/>
        </w:rPr>
        <w:t>Seg</w:t>
      </w:r>
      <w:r w:rsidR="000B058E">
        <w:rPr>
          <w:rFonts w:cs="Calibri"/>
        </w:rPr>
        <w:t xml:space="preserve">uindo a indicação de </w:t>
      </w:r>
      <w:proofErr w:type="spellStart"/>
      <w:r w:rsidR="000B058E" w:rsidRPr="00332962">
        <w:rPr>
          <w:rFonts w:cs="Calibri"/>
        </w:rPr>
        <w:t>Gissi</w:t>
      </w:r>
      <w:proofErr w:type="spellEnd"/>
      <w:r w:rsidR="000B058E" w:rsidRPr="00332962">
        <w:rPr>
          <w:rFonts w:cs="Calibri"/>
        </w:rPr>
        <w:t xml:space="preserve"> (</w:t>
      </w:r>
      <w:r w:rsidR="00405F9B" w:rsidRPr="00332962">
        <w:rPr>
          <w:rFonts w:cs="Calibri"/>
        </w:rPr>
        <w:t>2010, p. 60), adotou</w:t>
      </w:r>
      <w:r w:rsidR="00405F9B" w:rsidRPr="00405F9B">
        <w:rPr>
          <w:rFonts w:cs="Calibri"/>
        </w:rPr>
        <w:t>-se uma malha com dimensão linear de 0,10 m nos três eixos cartesianos</w:t>
      </w:r>
      <w:r w:rsidR="00C224B1">
        <w:rPr>
          <w:rFonts w:cs="Calibri"/>
        </w:rPr>
        <w:t xml:space="preserve"> (</w:t>
      </w:r>
      <w:r w:rsidR="00C224B1">
        <w:rPr>
          <w:rFonts w:cs="Calibri"/>
        </w:rPr>
        <w:fldChar w:fldCharType="begin"/>
      </w:r>
      <w:r w:rsidR="00C224B1">
        <w:rPr>
          <w:rFonts w:cs="Calibri"/>
        </w:rPr>
        <w:instrText xml:space="preserve"> REF _Ref441585679 \h </w:instrText>
      </w:r>
      <w:r w:rsidR="00C224B1">
        <w:rPr>
          <w:rFonts w:cs="Calibri"/>
        </w:rPr>
      </w:r>
      <w:r w:rsidR="00C224B1">
        <w:rPr>
          <w:rFonts w:cs="Calibri"/>
        </w:rPr>
        <w:fldChar w:fldCharType="separate"/>
      </w:r>
      <w:r w:rsidR="00C224B1" w:rsidRPr="00274EF6">
        <w:t xml:space="preserve">Figura </w:t>
      </w:r>
      <w:r w:rsidR="00C224B1">
        <w:rPr>
          <w:noProof/>
        </w:rPr>
        <w:t>2</w:t>
      </w:r>
      <w:r w:rsidR="00C224B1">
        <w:rPr>
          <w:rFonts w:cs="Calibri"/>
        </w:rPr>
        <w:fldChar w:fldCharType="end"/>
      </w:r>
      <w:r w:rsidR="00C224B1">
        <w:rPr>
          <w:rFonts w:cs="Calibri"/>
        </w:rPr>
        <w:t>)</w:t>
      </w:r>
      <w:r w:rsidR="00405F9B" w:rsidRPr="00405F9B">
        <w:rPr>
          <w:rFonts w:cs="Calibri"/>
        </w:rPr>
        <w:t>.</w:t>
      </w:r>
    </w:p>
    <w:p w14:paraId="3DA586E8" w14:textId="519A42E3" w:rsidR="00C224B1" w:rsidRPr="00274EF6" w:rsidRDefault="00C224B1" w:rsidP="00C224B1">
      <w:pPr>
        <w:pStyle w:val="Legenda"/>
      </w:pPr>
      <w:bookmarkStart w:id="1" w:name="_Ref441585679"/>
      <w:r w:rsidRPr="00274EF6">
        <w:t xml:space="preserve">Figura </w:t>
      </w:r>
      <w:fldSimple w:instr=" SEQ Figura \* ARABIC ">
        <w:r>
          <w:rPr>
            <w:noProof/>
          </w:rPr>
          <w:t>2</w:t>
        </w:r>
      </w:fldSimple>
      <w:bookmarkEnd w:id="1"/>
      <w:r w:rsidRPr="00274EF6">
        <w:t xml:space="preserve">: </w:t>
      </w:r>
      <w:r w:rsidR="009D0CD9">
        <w:t>Exemplo de uma s</w:t>
      </w:r>
      <w:r>
        <w:t xml:space="preserve">imulação </w:t>
      </w:r>
      <w:r w:rsidR="009D0CD9">
        <w:t>no FDS</w:t>
      </w:r>
      <w:r w:rsidR="009D0CD9">
        <w:t xml:space="preserve"> de um caso provido de compartimentação horizontal seletiva </w:t>
      </w:r>
    </w:p>
    <w:p w14:paraId="362A1089" w14:textId="7B9D0CDF" w:rsidR="00C224B1" w:rsidRPr="00405F9B" w:rsidRDefault="009D0CD9" w:rsidP="00C224B1">
      <w:pPr>
        <w:pStyle w:val="Figura"/>
      </w:pPr>
      <w:r>
        <w:rPr>
          <w:noProof/>
          <w:lang w:eastAsia="pt-BR"/>
        </w:rPr>
        <w:drawing>
          <wp:inline distT="0" distB="0" distL="0" distR="0" wp14:anchorId="5303B9A7" wp14:editId="5A4362F9">
            <wp:extent cx="3232150" cy="1668145"/>
            <wp:effectExtent l="0" t="0" r="6350" b="8255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0-100plus_dmn_75.0s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2150" cy="1668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2156EB" w14:textId="3D3BEC9A" w:rsidR="00405F9B" w:rsidRDefault="000B3944" w:rsidP="00405F9B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0B3944">
        <w:rPr>
          <w:rFonts w:cs="Calibri"/>
        </w:rPr>
        <w:t xml:space="preserve">A caracterização das condições de contorno envolve: (a) a descrição das fases do incêndio: ignição, crescimento, desenvolvimento e extinção; (b) o comportamento das chamas e de seus subprodutos e (c) a iteração desses com as variáveis ambientais e com os sistemas de proteção. </w:t>
      </w:r>
      <w:r w:rsidR="00FE4C58" w:rsidRPr="00FE4C58">
        <w:rPr>
          <w:rFonts w:cs="Calibri"/>
        </w:rPr>
        <w:t xml:space="preserve">É a parte </w:t>
      </w:r>
      <w:bookmarkStart w:id="2" w:name="_GoBack"/>
      <w:bookmarkEnd w:id="2"/>
      <w:r w:rsidR="00FE4C58" w:rsidRPr="00FE4C58">
        <w:rPr>
          <w:rFonts w:cs="Calibri"/>
        </w:rPr>
        <w:t xml:space="preserve">mais desafiadora na criação da </w:t>
      </w:r>
      <w:r w:rsidR="00FE4C58" w:rsidRPr="00332962">
        <w:rPr>
          <w:rFonts w:cs="Calibri"/>
        </w:rPr>
        <w:t>simulação (</w:t>
      </w:r>
      <w:proofErr w:type="spellStart"/>
      <w:r w:rsidR="00FE4C58" w:rsidRPr="00332962">
        <w:rPr>
          <w:rFonts w:cs="Calibri"/>
        </w:rPr>
        <w:t>McGRATTAN</w:t>
      </w:r>
      <w:proofErr w:type="spellEnd"/>
      <w:r w:rsidR="00FE4C58" w:rsidRPr="00332962">
        <w:rPr>
          <w:rFonts w:cs="Calibri"/>
        </w:rPr>
        <w:t>, et. al., 2014, p. 63)</w:t>
      </w:r>
      <w:r w:rsidRPr="00332962">
        <w:rPr>
          <w:rFonts w:cs="Calibri"/>
        </w:rPr>
        <w:t>, dado</w:t>
      </w:r>
      <w:r w:rsidRPr="000B3944">
        <w:rPr>
          <w:rFonts w:cs="Calibri"/>
        </w:rPr>
        <w:t xml:space="preserve"> a quantidade de variáveis envolvidas. É preciso, portanto, selecionar um conjunto reduzido e manipulável de variáveis</w:t>
      </w:r>
      <w:r>
        <w:rPr>
          <w:rFonts w:cs="Calibri"/>
        </w:rPr>
        <w:t>.</w:t>
      </w:r>
    </w:p>
    <w:p w14:paraId="507389EB" w14:textId="54A8F0FB" w:rsidR="00405F9B" w:rsidRDefault="00891711" w:rsidP="001E4E7A">
      <w:pPr>
        <w:autoSpaceDE w:val="0"/>
        <w:autoSpaceDN w:val="0"/>
        <w:adjustRightInd w:val="0"/>
        <w:spacing w:after="0" w:line="240" w:lineRule="auto"/>
        <w:jc w:val="both"/>
      </w:pPr>
      <w:r>
        <w:rPr>
          <w:rFonts w:cs="Calibri"/>
        </w:rPr>
        <w:t xml:space="preserve">Seguindo a indicação </w:t>
      </w:r>
      <w:r w:rsidRPr="00332962">
        <w:rPr>
          <w:rFonts w:cs="Calibri"/>
        </w:rPr>
        <w:t>de Alves (</w:t>
      </w:r>
      <w:r w:rsidR="00FE4C58" w:rsidRPr="00332962">
        <w:rPr>
          <w:rFonts w:cs="Calibri"/>
        </w:rPr>
        <w:t>2010, p. 206</w:t>
      </w:r>
      <w:r w:rsidRPr="00332962">
        <w:rPr>
          <w:rFonts w:cs="Calibri"/>
        </w:rPr>
        <w:t>), empregou</w:t>
      </w:r>
      <w:r>
        <w:rPr>
          <w:rFonts w:cs="Calibri"/>
        </w:rPr>
        <w:t xml:space="preserve">-se o </w:t>
      </w:r>
      <w:r w:rsidRPr="00891711">
        <w:rPr>
          <w:rFonts w:cs="Calibri"/>
        </w:rPr>
        <w:t>‘poliuretano padrão’ do programa</w:t>
      </w:r>
      <w:r>
        <w:rPr>
          <w:rFonts w:cs="Calibri"/>
        </w:rPr>
        <w:t xml:space="preserve"> como sendo o </w:t>
      </w:r>
      <w:r w:rsidRPr="00891711">
        <w:rPr>
          <w:rFonts w:cs="Calibri"/>
        </w:rPr>
        <w:t>material que reage com a chama</w:t>
      </w:r>
      <w:r w:rsidR="00FE4C58">
        <w:rPr>
          <w:rFonts w:cs="Calibri"/>
        </w:rPr>
        <w:t xml:space="preserve">. </w:t>
      </w:r>
      <w:r w:rsidR="00EC2AC1">
        <w:rPr>
          <w:rFonts w:cs="Calibri"/>
        </w:rPr>
        <w:t>A Taxa de liberação de calor foi determinada com base nos valores referentes ao “c</w:t>
      </w:r>
      <w:r w:rsidRPr="00891711">
        <w:rPr>
          <w:rFonts w:cs="Calibri"/>
        </w:rPr>
        <w:t xml:space="preserve">rescimento de incêndio médio”, retirada da norma </w:t>
      </w:r>
      <w:r w:rsidRPr="00332962">
        <w:rPr>
          <w:rFonts w:cs="Calibri"/>
        </w:rPr>
        <w:t>britânica BS 3974/2001</w:t>
      </w:r>
      <w:r w:rsidR="00717971" w:rsidRPr="00332962">
        <w:rPr>
          <w:rFonts w:cs="Calibri"/>
        </w:rPr>
        <w:t xml:space="preserve"> (Apu</w:t>
      </w:r>
      <w:r w:rsidR="00717971">
        <w:rPr>
          <w:rFonts w:cs="Calibri"/>
        </w:rPr>
        <w:t xml:space="preserve">d. SEITO, </w:t>
      </w:r>
      <w:proofErr w:type="gramStart"/>
      <w:r w:rsidR="00717971">
        <w:rPr>
          <w:rFonts w:cs="Calibri"/>
        </w:rPr>
        <w:t>et</w:t>
      </w:r>
      <w:proofErr w:type="gramEnd"/>
      <w:r w:rsidR="00717971">
        <w:rPr>
          <w:rFonts w:cs="Calibri"/>
        </w:rPr>
        <w:t xml:space="preserve"> al. [coord.] </w:t>
      </w:r>
      <w:r w:rsidR="00717971" w:rsidRPr="00717971">
        <w:rPr>
          <w:rFonts w:cs="Calibri"/>
        </w:rPr>
        <w:t>2008, p. 45)</w:t>
      </w:r>
      <w:r w:rsidR="00FE4C58">
        <w:rPr>
          <w:rFonts w:cs="Calibri"/>
        </w:rPr>
        <w:t xml:space="preserve">. </w:t>
      </w:r>
      <w:r w:rsidR="00EC2AC1">
        <w:rPr>
          <w:rFonts w:cs="Calibri"/>
        </w:rPr>
        <w:t>Ao</w:t>
      </w:r>
      <w:r w:rsidRPr="00891711">
        <w:rPr>
          <w:rFonts w:cs="Calibri"/>
        </w:rPr>
        <w:t xml:space="preserve"> parâmetro que determina a fração do composto convertida em fumaça durante a combustão, </w:t>
      </w:r>
      <w:r w:rsidR="00EC2AC1">
        <w:rPr>
          <w:rFonts w:cs="Calibri"/>
        </w:rPr>
        <w:t xml:space="preserve">foi atribuído o </w:t>
      </w:r>
      <w:r w:rsidR="001E4E7A">
        <w:rPr>
          <w:rFonts w:cs="Calibri"/>
        </w:rPr>
        <w:t>valor</w:t>
      </w:r>
      <w:r>
        <w:rPr>
          <w:rFonts w:cs="Calibri"/>
        </w:rPr>
        <w:t xml:space="preserve"> de </w:t>
      </w:r>
      <w:r w:rsidRPr="00891711">
        <w:rPr>
          <w:rFonts w:cs="Calibri"/>
        </w:rPr>
        <w:t>5</w:t>
      </w:r>
      <w:r w:rsidRPr="00332962">
        <w:rPr>
          <w:rFonts w:cs="Calibri"/>
        </w:rPr>
        <w:t xml:space="preserve">% </w:t>
      </w:r>
      <w:r w:rsidR="000B058E" w:rsidRPr="00332962">
        <w:rPr>
          <w:rFonts w:cs="Calibri"/>
        </w:rPr>
        <w:t>(ROBBINS; WADE, 2007, p. 13</w:t>
      </w:r>
      <w:r w:rsidRPr="00332962">
        <w:rPr>
          <w:rFonts w:cs="Calibri"/>
        </w:rPr>
        <w:t>)</w:t>
      </w:r>
      <w:r w:rsidR="001E4E7A" w:rsidRPr="00332962">
        <w:rPr>
          <w:rFonts w:cs="Calibri"/>
        </w:rPr>
        <w:t>. As</w:t>
      </w:r>
      <w:r w:rsidR="001E4E7A">
        <w:rPr>
          <w:rFonts w:cs="Calibri"/>
        </w:rPr>
        <w:t xml:space="preserve"> simulações foram configuradas para representar os primeiros </w:t>
      </w:r>
      <w:r w:rsidR="004E7E35">
        <w:rPr>
          <w:rFonts w:cs="Calibri"/>
        </w:rPr>
        <w:t>300 segundos</w:t>
      </w:r>
      <w:r w:rsidR="001E4E7A">
        <w:rPr>
          <w:rFonts w:cs="Calibri"/>
        </w:rPr>
        <w:t xml:space="preserve"> do incêndio, uma vez que e</w:t>
      </w:r>
      <w:r w:rsidR="001E4E7A" w:rsidRPr="001E4E7A">
        <w:rPr>
          <w:rFonts w:cs="Calibri"/>
        </w:rPr>
        <w:t xml:space="preserve">xperimentos monitorados indicam que em incêndios não explosivos o </w:t>
      </w:r>
      <w:proofErr w:type="spellStart"/>
      <w:r w:rsidR="001E4E7A" w:rsidRPr="001E4E7A">
        <w:rPr>
          <w:rFonts w:cs="Calibri"/>
          <w:i/>
        </w:rPr>
        <w:t>flashover</w:t>
      </w:r>
      <w:proofErr w:type="spellEnd"/>
      <w:r w:rsidR="001E4E7A" w:rsidRPr="001E4E7A">
        <w:rPr>
          <w:rFonts w:cs="Calibri"/>
        </w:rPr>
        <w:t xml:space="preserve"> acontece, normalmente, no intervalo de até cinco minutos após o surgimento do foco </w:t>
      </w:r>
      <w:r w:rsidR="001E4E7A" w:rsidRPr="00332962">
        <w:rPr>
          <w:rFonts w:cs="Calibri"/>
        </w:rPr>
        <w:t xml:space="preserve">inicial (MOUNT PENN FIRE COMPANY, 2015 e FPA, 2012). </w:t>
      </w:r>
      <w:r w:rsidR="00405F9B" w:rsidRPr="00332962">
        <w:t>N</w:t>
      </w:r>
      <w:r w:rsidR="00405F9B">
        <w:t xml:space="preserve">a </w:t>
      </w:r>
      <w:r w:rsidR="00405F9B">
        <w:fldChar w:fldCharType="begin"/>
      </w:r>
      <w:r w:rsidR="00405F9B">
        <w:instrText xml:space="preserve"> REF _Ref440365887 \h </w:instrText>
      </w:r>
      <w:r w:rsidR="00405F9B">
        <w:fldChar w:fldCharType="separate"/>
      </w:r>
      <w:r w:rsidR="00C224B1">
        <w:t xml:space="preserve">Tabela </w:t>
      </w:r>
      <w:r w:rsidR="00C224B1">
        <w:rPr>
          <w:noProof/>
        </w:rPr>
        <w:t>1</w:t>
      </w:r>
      <w:r w:rsidR="00405F9B">
        <w:fldChar w:fldCharType="end"/>
      </w:r>
      <w:r w:rsidR="00405F9B">
        <w:t xml:space="preserve"> </w:t>
      </w:r>
      <w:r w:rsidR="00405F9B" w:rsidRPr="00B125CA">
        <w:t>resume</w:t>
      </w:r>
      <w:r w:rsidR="00405F9B">
        <w:t>-se</w:t>
      </w:r>
      <w:r w:rsidR="00405F9B" w:rsidRPr="00B125CA">
        <w:t xml:space="preserve"> a config</w:t>
      </w:r>
      <w:r w:rsidR="00405F9B">
        <w:t>urações adotadas nas simulações.</w:t>
      </w:r>
    </w:p>
    <w:p w14:paraId="7B7EE9FD" w14:textId="4CF79FA2" w:rsidR="00405F9B" w:rsidRDefault="00405F9B" w:rsidP="00405F9B">
      <w:pPr>
        <w:pStyle w:val="Legenda"/>
      </w:pPr>
      <w:bookmarkStart w:id="3" w:name="_Ref440365887"/>
      <w:bookmarkStart w:id="4" w:name="_Toc440377021"/>
      <w:r>
        <w:lastRenderedPageBreak/>
        <w:t xml:space="preserve">Tabela </w:t>
      </w:r>
      <w:r w:rsidR="003A1856">
        <w:fldChar w:fldCharType="begin"/>
      </w:r>
      <w:r w:rsidR="003A1856">
        <w:instrText xml:space="preserve"> SEQ Tabela \* ARABIC </w:instrText>
      </w:r>
      <w:r w:rsidR="003A1856">
        <w:fldChar w:fldCharType="separate"/>
      </w:r>
      <w:r w:rsidR="00C224B1">
        <w:rPr>
          <w:noProof/>
        </w:rPr>
        <w:t>1</w:t>
      </w:r>
      <w:r w:rsidR="003A1856">
        <w:rPr>
          <w:noProof/>
        </w:rPr>
        <w:fldChar w:fldCharType="end"/>
      </w:r>
      <w:bookmarkEnd w:id="3"/>
      <w:r>
        <w:t xml:space="preserve"> – Configuração das simulações</w:t>
      </w:r>
      <w:bookmarkEnd w:id="4"/>
    </w:p>
    <w:tbl>
      <w:tblPr>
        <w:tblStyle w:val="Tabelacomgrade"/>
        <w:tblW w:w="0" w:type="auto"/>
        <w:tblLook w:val="04A0" w:firstRow="1" w:lastRow="0" w:firstColumn="1" w:lastColumn="0" w:noHBand="0" w:noVBand="1"/>
      </w:tblPr>
      <w:tblGrid>
        <w:gridCol w:w="2660"/>
        <w:gridCol w:w="2570"/>
      </w:tblGrid>
      <w:tr w:rsidR="00405F9B" w14:paraId="31025FB5" w14:textId="77777777" w:rsidTr="001C4BDC">
        <w:tc>
          <w:tcPr>
            <w:tcW w:w="2660" w:type="dxa"/>
            <w:shd w:val="pct10" w:color="auto" w:fill="auto"/>
          </w:tcPr>
          <w:p w14:paraId="044382E7" w14:textId="044A4CEB" w:rsidR="00405F9B" w:rsidRPr="007D5918" w:rsidRDefault="00405F9B" w:rsidP="000B3944">
            <w:pPr>
              <w:pStyle w:val="Quadrosetabelas"/>
              <w:keepNext/>
              <w:jc w:val="left"/>
              <w:rPr>
                <w:sz w:val="16"/>
                <w:szCs w:val="16"/>
              </w:rPr>
            </w:pPr>
            <w:r w:rsidRPr="007D5918">
              <w:rPr>
                <w:sz w:val="16"/>
                <w:szCs w:val="16"/>
              </w:rPr>
              <w:t>DOMÍNIO</w:t>
            </w:r>
            <w:r w:rsidR="000B3944" w:rsidRPr="007D5918">
              <w:rPr>
                <w:sz w:val="16"/>
                <w:szCs w:val="16"/>
              </w:rPr>
              <w:t xml:space="preserve"> </w:t>
            </w:r>
            <w:r w:rsidRPr="007D5918">
              <w:rPr>
                <w:sz w:val="16"/>
                <w:szCs w:val="16"/>
              </w:rPr>
              <w:t>[X; Y; Z] (m)</w:t>
            </w:r>
          </w:p>
        </w:tc>
        <w:tc>
          <w:tcPr>
            <w:tcW w:w="2570" w:type="dxa"/>
          </w:tcPr>
          <w:p w14:paraId="2D0196C9" w14:textId="0CB55DFA" w:rsidR="00405F9B" w:rsidRPr="007D5918" w:rsidRDefault="00405F9B" w:rsidP="000B3944">
            <w:pPr>
              <w:pStyle w:val="Quadrosetabelas"/>
              <w:rPr>
                <w:sz w:val="16"/>
                <w:szCs w:val="16"/>
              </w:rPr>
            </w:pPr>
            <w:proofErr w:type="gramStart"/>
            <w:r w:rsidRPr="007D5918">
              <w:rPr>
                <w:sz w:val="16"/>
                <w:szCs w:val="16"/>
              </w:rPr>
              <w:t>12,2 ;</w:t>
            </w:r>
            <w:proofErr w:type="gramEnd"/>
            <w:r w:rsidRPr="007D5918">
              <w:rPr>
                <w:sz w:val="16"/>
                <w:szCs w:val="16"/>
              </w:rPr>
              <w:t xml:space="preserve"> 8,4 ; 5,0</w:t>
            </w:r>
          </w:p>
        </w:tc>
      </w:tr>
      <w:tr w:rsidR="00405F9B" w14:paraId="044C9F3F" w14:textId="77777777" w:rsidTr="001C4BDC">
        <w:tc>
          <w:tcPr>
            <w:tcW w:w="2660" w:type="dxa"/>
            <w:shd w:val="pct10" w:color="auto" w:fill="auto"/>
          </w:tcPr>
          <w:p w14:paraId="431E6F8E" w14:textId="484D26B0" w:rsidR="00405F9B" w:rsidRPr="007D5918" w:rsidRDefault="000B3944" w:rsidP="001C4BDC">
            <w:pPr>
              <w:pStyle w:val="Quadrosetabelas"/>
              <w:keepNext/>
              <w:jc w:val="left"/>
              <w:rPr>
                <w:sz w:val="16"/>
                <w:szCs w:val="16"/>
              </w:rPr>
            </w:pPr>
            <w:r w:rsidRPr="007D5918">
              <w:rPr>
                <w:sz w:val="16"/>
                <w:szCs w:val="16"/>
              </w:rPr>
              <w:t>MALHA</w:t>
            </w:r>
            <w:r w:rsidR="001C4BDC">
              <w:rPr>
                <w:sz w:val="16"/>
                <w:szCs w:val="16"/>
              </w:rPr>
              <w:t xml:space="preserve"> (</w:t>
            </w:r>
            <w:proofErr w:type="spellStart"/>
            <w:r w:rsidR="001C4BDC">
              <w:rPr>
                <w:sz w:val="16"/>
                <w:szCs w:val="16"/>
              </w:rPr>
              <w:t>Qnd</w:t>
            </w:r>
            <w:proofErr w:type="spellEnd"/>
            <w:r w:rsidR="001C4BDC">
              <w:rPr>
                <w:sz w:val="16"/>
                <w:szCs w:val="16"/>
              </w:rPr>
              <w:t xml:space="preserve"> de células) </w:t>
            </w:r>
            <w:r w:rsidR="001C4BDC" w:rsidRPr="001C4BDC">
              <w:rPr>
                <w:sz w:val="16"/>
                <w:szCs w:val="16"/>
              </w:rPr>
              <w:t>[X; Y; Z</w:t>
            </w:r>
            <w:proofErr w:type="gramStart"/>
            <w:r w:rsidR="001C4BDC" w:rsidRPr="001C4BDC">
              <w:rPr>
                <w:sz w:val="16"/>
                <w:szCs w:val="16"/>
              </w:rPr>
              <w:t>]</w:t>
            </w:r>
            <w:proofErr w:type="gramEnd"/>
          </w:p>
        </w:tc>
        <w:tc>
          <w:tcPr>
            <w:tcW w:w="2570" w:type="dxa"/>
          </w:tcPr>
          <w:p w14:paraId="01AA7B66" w14:textId="3474959F" w:rsidR="00405F9B" w:rsidRPr="007D5918" w:rsidRDefault="000B3944" w:rsidP="000B3944">
            <w:pPr>
              <w:pStyle w:val="Quadrosetabelas"/>
              <w:rPr>
                <w:sz w:val="16"/>
                <w:szCs w:val="16"/>
              </w:rPr>
            </w:pPr>
            <w:proofErr w:type="gramStart"/>
            <w:r w:rsidRPr="007D5918">
              <w:rPr>
                <w:sz w:val="16"/>
                <w:szCs w:val="16"/>
              </w:rPr>
              <w:t>122 ;</w:t>
            </w:r>
            <w:proofErr w:type="gramEnd"/>
            <w:r w:rsidRPr="007D5918">
              <w:rPr>
                <w:sz w:val="16"/>
                <w:szCs w:val="16"/>
              </w:rPr>
              <w:t xml:space="preserve"> 84 ; 50</w:t>
            </w:r>
          </w:p>
        </w:tc>
      </w:tr>
      <w:tr w:rsidR="00405F9B" w14:paraId="7955BE4F" w14:textId="77777777" w:rsidTr="001C4BDC">
        <w:tc>
          <w:tcPr>
            <w:tcW w:w="2660" w:type="dxa"/>
            <w:shd w:val="pct10" w:color="auto" w:fill="auto"/>
          </w:tcPr>
          <w:p w14:paraId="0A85E74B" w14:textId="171C0709" w:rsidR="00405F9B" w:rsidRPr="007D5918" w:rsidRDefault="000B3944" w:rsidP="000B3944">
            <w:pPr>
              <w:pStyle w:val="Quadrosetabelas"/>
              <w:keepNext/>
              <w:jc w:val="left"/>
              <w:rPr>
                <w:sz w:val="16"/>
                <w:szCs w:val="16"/>
              </w:rPr>
            </w:pPr>
            <w:r w:rsidRPr="007D5918">
              <w:rPr>
                <w:sz w:val="16"/>
                <w:szCs w:val="16"/>
              </w:rPr>
              <w:t>TOTAL DE CÉLULAS</w:t>
            </w:r>
          </w:p>
        </w:tc>
        <w:tc>
          <w:tcPr>
            <w:tcW w:w="2570" w:type="dxa"/>
          </w:tcPr>
          <w:p w14:paraId="4E06E396" w14:textId="282CA087" w:rsidR="00405F9B" w:rsidRPr="007D5918" w:rsidRDefault="000B3944" w:rsidP="000B3944">
            <w:pPr>
              <w:pStyle w:val="Quadrosetabelas"/>
              <w:rPr>
                <w:sz w:val="16"/>
                <w:szCs w:val="16"/>
              </w:rPr>
            </w:pPr>
            <w:r w:rsidRPr="007D5918">
              <w:rPr>
                <w:sz w:val="16"/>
                <w:szCs w:val="16"/>
              </w:rPr>
              <w:t>512.400</w:t>
            </w:r>
          </w:p>
        </w:tc>
      </w:tr>
      <w:tr w:rsidR="00405F9B" w14:paraId="1629726E" w14:textId="77777777" w:rsidTr="001C4BDC">
        <w:tc>
          <w:tcPr>
            <w:tcW w:w="2660" w:type="dxa"/>
            <w:shd w:val="pct10" w:color="auto" w:fill="auto"/>
          </w:tcPr>
          <w:p w14:paraId="6972DC00" w14:textId="6F60B18C" w:rsidR="00405F9B" w:rsidRPr="007D5918" w:rsidRDefault="00EC2AC1" w:rsidP="000B3944">
            <w:pPr>
              <w:pStyle w:val="Quadrosetabelas"/>
              <w:keepNext/>
              <w:jc w:val="lef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TAXA DE LIBERAÇÃO DE CALOR</w:t>
            </w:r>
          </w:p>
        </w:tc>
        <w:tc>
          <w:tcPr>
            <w:tcW w:w="2570" w:type="dxa"/>
          </w:tcPr>
          <w:p w14:paraId="766EDD37" w14:textId="122BDDF5" w:rsidR="00405F9B" w:rsidRPr="007D5918" w:rsidRDefault="000B3944" w:rsidP="000B3944">
            <w:pPr>
              <w:pStyle w:val="Quadrosetabelas"/>
              <w:rPr>
                <w:sz w:val="16"/>
                <w:szCs w:val="16"/>
              </w:rPr>
            </w:pPr>
            <w:r w:rsidRPr="007D5918">
              <w:rPr>
                <w:sz w:val="16"/>
                <w:szCs w:val="16"/>
              </w:rPr>
              <w:t>Retirado da norma BS 3974/2001</w:t>
            </w:r>
          </w:p>
        </w:tc>
      </w:tr>
      <w:tr w:rsidR="00405F9B" w14:paraId="44C3CF5A" w14:textId="77777777" w:rsidTr="001C4BDC">
        <w:tc>
          <w:tcPr>
            <w:tcW w:w="2660" w:type="dxa"/>
            <w:shd w:val="pct10" w:color="auto" w:fill="auto"/>
          </w:tcPr>
          <w:p w14:paraId="4F17AB92" w14:textId="012F09EA" w:rsidR="00405F9B" w:rsidRPr="007D5918" w:rsidRDefault="000B3944" w:rsidP="000B3944">
            <w:pPr>
              <w:pStyle w:val="Quadrosetabelas"/>
              <w:keepNext/>
              <w:jc w:val="left"/>
              <w:rPr>
                <w:sz w:val="16"/>
                <w:szCs w:val="16"/>
              </w:rPr>
            </w:pPr>
            <w:r w:rsidRPr="007D5918">
              <w:rPr>
                <w:sz w:val="16"/>
                <w:szCs w:val="16"/>
              </w:rPr>
              <w:t>COMPOSTO QUEIMANTE</w:t>
            </w:r>
          </w:p>
        </w:tc>
        <w:tc>
          <w:tcPr>
            <w:tcW w:w="2570" w:type="dxa"/>
          </w:tcPr>
          <w:p w14:paraId="5A1DD010" w14:textId="043ACAA7" w:rsidR="00405F9B" w:rsidRPr="007D5918" w:rsidRDefault="000B3944" w:rsidP="000B3944">
            <w:pPr>
              <w:pStyle w:val="Quadrosetabelas"/>
              <w:rPr>
                <w:sz w:val="16"/>
                <w:szCs w:val="16"/>
              </w:rPr>
            </w:pPr>
            <w:r w:rsidRPr="007D5918">
              <w:rPr>
                <w:sz w:val="16"/>
                <w:szCs w:val="16"/>
              </w:rPr>
              <w:t>Poliuretano padrão do FDS</w:t>
            </w:r>
          </w:p>
        </w:tc>
      </w:tr>
      <w:tr w:rsidR="00405F9B" w14:paraId="15AE810E" w14:textId="77777777" w:rsidTr="001C4BDC">
        <w:tc>
          <w:tcPr>
            <w:tcW w:w="2660" w:type="dxa"/>
            <w:shd w:val="pct10" w:color="auto" w:fill="auto"/>
          </w:tcPr>
          <w:p w14:paraId="26F68BDC" w14:textId="63412DCD" w:rsidR="00405F9B" w:rsidRPr="007D5918" w:rsidRDefault="00EC2AC1" w:rsidP="000B3944">
            <w:pPr>
              <w:pStyle w:val="Quadrosetabelas"/>
              <w:keepNext/>
              <w:jc w:val="lef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FRAÇÃO DO COMPOSTO TRANSFORMADA EM FUMAÇA</w:t>
            </w:r>
          </w:p>
        </w:tc>
        <w:tc>
          <w:tcPr>
            <w:tcW w:w="2570" w:type="dxa"/>
          </w:tcPr>
          <w:p w14:paraId="5B603A6E" w14:textId="46FEE69A" w:rsidR="00405F9B" w:rsidRPr="007D5918" w:rsidRDefault="000B3944" w:rsidP="000B3944">
            <w:pPr>
              <w:pStyle w:val="Quadrosetabelas"/>
              <w:rPr>
                <w:sz w:val="16"/>
                <w:szCs w:val="16"/>
              </w:rPr>
            </w:pPr>
            <w:r w:rsidRPr="007D5918">
              <w:rPr>
                <w:sz w:val="16"/>
                <w:szCs w:val="16"/>
              </w:rPr>
              <w:t>5%</w:t>
            </w:r>
          </w:p>
        </w:tc>
      </w:tr>
      <w:tr w:rsidR="00405F9B" w14:paraId="0519FEF1" w14:textId="77777777" w:rsidTr="001C4BDC">
        <w:tc>
          <w:tcPr>
            <w:tcW w:w="2660" w:type="dxa"/>
            <w:shd w:val="pct10" w:color="auto" w:fill="auto"/>
          </w:tcPr>
          <w:p w14:paraId="6299A98F" w14:textId="2383088A" w:rsidR="00405F9B" w:rsidRPr="007D5918" w:rsidRDefault="000B3944" w:rsidP="000B3944">
            <w:pPr>
              <w:pStyle w:val="Quadrosetabelas"/>
              <w:keepNext/>
              <w:jc w:val="left"/>
              <w:rPr>
                <w:sz w:val="16"/>
                <w:szCs w:val="16"/>
              </w:rPr>
            </w:pPr>
            <w:r w:rsidRPr="007D5918">
              <w:rPr>
                <w:sz w:val="16"/>
                <w:szCs w:val="16"/>
              </w:rPr>
              <w:t>TEMPO (s)</w:t>
            </w:r>
          </w:p>
        </w:tc>
        <w:tc>
          <w:tcPr>
            <w:tcW w:w="2570" w:type="dxa"/>
          </w:tcPr>
          <w:p w14:paraId="3C0ACAFC" w14:textId="3309756F" w:rsidR="00405F9B" w:rsidRPr="007D5918" w:rsidRDefault="000B3944" w:rsidP="000B3944">
            <w:pPr>
              <w:pStyle w:val="Quadrosetabelas"/>
              <w:rPr>
                <w:sz w:val="16"/>
                <w:szCs w:val="16"/>
              </w:rPr>
            </w:pPr>
            <w:r w:rsidRPr="007D5918">
              <w:rPr>
                <w:sz w:val="16"/>
                <w:szCs w:val="16"/>
              </w:rPr>
              <w:t>300</w:t>
            </w:r>
          </w:p>
        </w:tc>
      </w:tr>
    </w:tbl>
    <w:p w14:paraId="58D415ED" w14:textId="77777777" w:rsidR="00405F9B" w:rsidRDefault="00405F9B" w:rsidP="00405F9B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14:paraId="5B5A0BD3" w14:textId="3EF09CBF" w:rsidR="00405F9B" w:rsidRDefault="00FE4C58" w:rsidP="00FE4C58">
      <w:pPr>
        <w:keepNext/>
        <w:autoSpaceDE w:val="0"/>
        <w:autoSpaceDN w:val="0"/>
        <w:adjustRightInd w:val="0"/>
        <w:spacing w:after="0" w:line="240" w:lineRule="auto"/>
        <w:rPr>
          <w:rFonts w:cs="Calibri"/>
          <w:b/>
          <w:sz w:val="24"/>
          <w:szCs w:val="24"/>
        </w:rPr>
      </w:pPr>
      <w:r w:rsidRPr="00FE4C58">
        <w:rPr>
          <w:rFonts w:cs="Calibri"/>
          <w:b/>
          <w:sz w:val="24"/>
          <w:szCs w:val="24"/>
        </w:rPr>
        <w:t>Resultados</w:t>
      </w:r>
    </w:p>
    <w:p w14:paraId="3A6611BD" w14:textId="3D949EC0" w:rsidR="00AF641E" w:rsidRPr="00AF641E" w:rsidRDefault="00AF641E" w:rsidP="00AF641E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u w:val="single"/>
        </w:rPr>
      </w:pPr>
      <w:r w:rsidRPr="00AF641E">
        <w:rPr>
          <w:rFonts w:cs="Calibri"/>
          <w:u w:val="single"/>
        </w:rPr>
        <w:t>Altura da camada livre de fumaça</w:t>
      </w:r>
    </w:p>
    <w:p w14:paraId="011C02CC" w14:textId="4626B4DE" w:rsidR="00274EF6" w:rsidRPr="00FE4C58" w:rsidRDefault="00FE4C58" w:rsidP="00FE4C58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FE4C58">
        <w:rPr>
          <w:rFonts w:cs="Calibri"/>
        </w:rPr>
        <w:t>A leitura dos dados referentes à altura da camada livre de fumaça foi obtida por meio do comando “&amp;DEVC (...) QUANTITY='LAYER HEIGHT'”.</w:t>
      </w:r>
      <w:r>
        <w:rPr>
          <w:rFonts w:cs="Calibri"/>
        </w:rPr>
        <w:t xml:space="preserve"> </w:t>
      </w:r>
      <w:r w:rsidRPr="00FE4C58">
        <w:rPr>
          <w:rFonts w:cs="Calibri"/>
        </w:rPr>
        <w:t xml:space="preserve">Analisando apenas os resultados dos casos simulados com as janelas fechadas, percebe-se que a compartimentação seletiva é capaz de promover benefícios para os ocupantes durante a evacuação, pois torna a redução da camada livre de fumaça menos intensa, além de estabilizá-la acima de 1,0m de altura. Percebe-se, contudo, pouca diferença nos resultados obtidos com diferentes combinações de aberturas na divisória e na laje, indicando a inexistência de um coeficiente de proporcionalidade entre os vãos disponíveis para a exaustão </w:t>
      </w:r>
      <w:r w:rsidR="001C4BDC">
        <w:rPr>
          <w:rFonts w:cs="Calibri"/>
        </w:rPr>
        <w:t xml:space="preserve">da fumaça </w:t>
      </w:r>
      <w:r w:rsidRPr="00FE4C58">
        <w:rPr>
          <w:rFonts w:cs="Calibri"/>
        </w:rPr>
        <w:t xml:space="preserve">e o acréscimo na altura da camada </w:t>
      </w:r>
      <w:r w:rsidR="001C4BDC">
        <w:rPr>
          <w:rFonts w:cs="Calibri"/>
        </w:rPr>
        <w:t>visível</w:t>
      </w:r>
      <w:r w:rsidR="00717971">
        <w:rPr>
          <w:rFonts w:cs="Calibri"/>
        </w:rPr>
        <w:t xml:space="preserve"> (</w:t>
      </w:r>
      <w:r w:rsidR="00717971">
        <w:rPr>
          <w:rFonts w:cs="Calibri"/>
        </w:rPr>
        <w:fldChar w:fldCharType="begin"/>
      </w:r>
      <w:r w:rsidR="00717971">
        <w:rPr>
          <w:rFonts w:cs="Calibri"/>
        </w:rPr>
        <w:instrText xml:space="preserve"> REF _Ref440549650 \h </w:instrText>
      </w:r>
      <w:r w:rsidR="00717971">
        <w:rPr>
          <w:rFonts w:cs="Calibri"/>
        </w:rPr>
      </w:r>
      <w:r w:rsidR="00717971">
        <w:rPr>
          <w:rFonts w:cs="Calibri"/>
        </w:rPr>
        <w:fldChar w:fldCharType="separate"/>
      </w:r>
      <w:r w:rsidR="00C224B1" w:rsidRPr="00274EF6">
        <w:t xml:space="preserve">Figura </w:t>
      </w:r>
      <w:r w:rsidR="00C224B1">
        <w:rPr>
          <w:noProof/>
        </w:rPr>
        <w:t>3</w:t>
      </w:r>
      <w:r w:rsidR="00717971">
        <w:rPr>
          <w:rFonts w:cs="Calibri"/>
        </w:rPr>
        <w:fldChar w:fldCharType="end"/>
      </w:r>
      <w:r w:rsidR="00717971">
        <w:rPr>
          <w:rFonts w:cs="Calibri"/>
        </w:rPr>
        <w:t>)</w:t>
      </w:r>
      <w:r>
        <w:rPr>
          <w:rFonts w:cs="Calibri"/>
        </w:rPr>
        <w:t>.</w:t>
      </w:r>
    </w:p>
    <w:p w14:paraId="45D87A2C" w14:textId="580009F5" w:rsidR="00AF641E" w:rsidRPr="00274EF6" w:rsidRDefault="00AF641E" w:rsidP="00AF641E">
      <w:pPr>
        <w:pStyle w:val="Legenda"/>
      </w:pPr>
      <w:bookmarkStart w:id="5" w:name="_Ref440549650"/>
      <w:r w:rsidRPr="00274EF6">
        <w:t xml:space="preserve">Figura </w:t>
      </w:r>
      <w:r w:rsidR="003A1856">
        <w:fldChar w:fldCharType="begin"/>
      </w:r>
      <w:r w:rsidR="003A1856">
        <w:instrText xml:space="preserve"> SEQ Figura \* ARABIC </w:instrText>
      </w:r>
      <w:r w:rsidR="003A1856">
        <w:fldChar w:fldCharType="separate"/>
      </w:r>
      <w:r w:rsidR="00C224B1">
        <w:rPr>
          <w:noProof/>
        </w:rPr>
        <w:t>3</w:t>
      </w:r>
      <w:r w:rsidR="003A1856">
        <w:rPr>
          <w:noProof/>
        </w:rPr>
        <w:fldChar w:fldCharType="end"/>
      </w:r>
      <w:bookmarkEnd w:id="5"/>
      <w:r w:rsidRPr="00274EF6">
        <w:t xml:space="preserve">: </w:t>
      </w:r>
      <w:r w:rsidR="001C4BDC">
        <w:t>Gráfico com a s</w:t>
      </w:r>
      <w:r w:rsidRPr="00DA08FC">
        <w:t>obreposição das curvas representativas da altura da camada livre de fumaça dos casos com as janelas fechadas.</w:t>
      </w:r>
    </w:p>
    <w:p w14:paraId="05F77E4E" w14:textId="45760233" w:rsidR="00ED484A" w:rsidRDefault="00ED484A" w:rsidP="007D5918">
      <w:pPr>
        <w:pStyle w:val="Figura"/>
        <w:rPr>
          <w:rFonts w:cs="Calibri"/>
          <w:sz w:val="24"/>
          <w:szCs w:val="24"/>
        </w:rPr>
      </w:pPr>
      <w:r>
        <w:rPr>
          <w:noProof/>
          <w:lang w:eastAsia="pt-BR"/>
        </w:rPr>
        <w:drawing>
          <wp:inline distT="0" distB="0" distL="0" distR="0" wp14:anchorId="5B3F3033" wp14:editId="1EA1AF3A">
            <wp:extent cx="3232150" cy="1755994"/>
            <wp:effectExtent l="0" t="0" r="6350" b="0"/>
            <wp:docPr id="1416" name="Imagem 14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ltura da camada de fumaca_janelas fechadas_sem titulo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2150" cy="1755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B5179C" w14:textId="148AE4AF" w:rsidR="00ED484A" w:rsidRDefault="00172E34" w:rsidP="00172E34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172E34">
        <w:rPr>
          <w:rFonts w:cs="Calibri"/>
        </w:rPr>
        <w:t xml:space="preserve">Atentando para os casos simulados com as janelas abertas, a compartimentação seletiva apresentou </w:t>
      </w:r>
      <w:r w:rsidR="00AF641E">
        <w:rPr>
          <w:rFonts w:cs="Calibri"/>
        </w:rPr>
        <w:t>um sutil</w:t>
      </w:r>
      <w:r w:rsidRPr="00172E34">
        <w:rPr>
          <w:rFonts w:cs="Calibri"/>
        </w:rPr>
        <w:t xml:space="preserve"> incremento da altura da camada livre de fumaça em relação ao caso de referência ‘</w:t>
      </w:r>
      <w:proofErr w:type="spellStart"/>
      <w:proofErr w:type="gramStart"/>
      <w:r w:rsidRPr="00172E34">
        <w:rPr>
          <w:rFonts w:cs="Calibri"/>
        </w:rPr>
        <w:t>DIVplus_open</w:t>
      </w:r>
      <w:proofErr w:type="spellEnd"/>
      <w:proofErr w:type="gramEnd"/>
      <w:r w:rsidRPr="00172E34">
        <w:rPr>
          <w:rFonts w:cs="Calibri"/>
        </w:rPr>
        <w:t>’</w:t>
      </w:r>
      <w:r w:rsidR="00AF641E">
        <w:rPr>
          <w:rFonts w:cs="Calibri"/>
        </w:rPr>
        <w:t xml:space="preserve"> e</w:t>
      </w:r>
      <w:r w:rsidR="001C4BDC">
        <w:rPr>
          <w:rFonts w:cs="Calibri"/>
        </w:rPr>
        <w:t>,</w:t>
      </w:r>
      <w:r w:rsidR="00AF641E">
        <w:rPr>
          <w:rFonts w:cs="Calibri"/>
        </w:rPr>
        <w:t xml:space="preserve"> </w:t>
      </w:r>
      <w:r w:rsidR="00AF641E" w:rsidRPr="00AF641E">
        <w:rPr>
          <w:rFonts w:cs="Calibri"/>
        </w:rPr>
        <w:t>novamente, pouco sensível às diferentes combinações de abertura na divisória e na laje. Logo, é possível afirmar que a exaustão promovida pelas janelas foi preponderante nesses casos</w:t>
      </w:r>
      <w:r w:rsidR="00717971">
        <w:rPr>
          <w:rFonts w:cs="Calibri"/>
        </w:rPr>
        <w:t xml:space="preserve"> (</w:t>
      </w:r>
      <w:r w:rsidR="00717971">
        <w:rPr>
          <w:rFonts w:cs="Calibri"/>
        </w:rPr>
        <w:fldChar w:fldCharType="begin"/>
      </w:r>
      <w:r w:rsidR="00717971">
        <w:rPr>
          <w:rFonts w:cs="Calibri"/>
        </w:rPr>
        <w:instrText xml:space="preserve"> REF _Ref440549639 \h </w:instrText>
      </w:r>
      <w:r w:rsidR="00717971">
        <w:rPr>
          <w:rFonts w:cs="Calibri"/>
        </w:rPr>
      </w:r>
      <w:r w:rsidR="00717971">
        <w:rPr>
          <w:rFonts w:cs="Calibri"/>
        </w:rPr>
        <w:fldChar w:fldCharType="separate"/>
      </w:r>
      <w:r w:rsidR="00C224B1" w:rsidRPr="00274EF6">
        <w:t xml:space="preserve">Figura </w:t>
      </w:r>
      <w:r w:rsidR="00C224B1">
        <w:rPr>
          <w:noProof/>
        </w:rPr>
        <w:t>4</w:t>
      </w:r>
      <w:r w:rsidR="00717971">
        <w:rPr>
          <w:rFonts w:cs="Calibri"/>
        </w:rPr>
        <w:fldChar w:fldCharType="end"/>
      </w:r>
      <w:r w:rsidR="00717971">
        <w:rPr>
          <w:rFonts w:cs="Calibri"/>
        </w:rPr>
        <w:t>)</w:t>
      </w:r>
      <w:r w:rsidR="00AF641E">
        <w:rPr>
          <w:rFonts w:cs="Calibri"/>
        </w:rPr>
        <w:t>.</w:t>
      </w:r>
    </w:p>
    <w:p w14:paraId="48710FD5" w14:textId="77777777" w:rsidR="00AF641E" w:rsidRPr="00274EF6" w:rsidRDefault="00AF641E" w:rsidP="00AF641E">
      <w:pPr>
        <w:pStyle w:val="Legenda"/>
      </w:pPr>
      <w:bookmarkStart w:id="6" w:name="_Ref440549639"/>
      <w:r w:rsidRPr="00274EF6">
        <w:lastRenderedPageBreak/>
        <w:t xml:space="preserve">Figura </w:t>
      </w:r>
      <w:r w:rsidR="003A1856">
        <w:fldChar w:fldCharType="begin"/>
      </w:r>
      <w:r w:rsidR="003A1856">
        <w:instrText xml:space="preserve"> SEQ Figura \* ARABIC </w:instrText>
      </w:r>
      <w:r w:rsidR="003A1856">
        <w:fldChar w:fldCharType="separate"/>
      </w:r>
      <w:r w:rsidR="00C224B1">
        <w:rPr>
          <w:noProof/>
        </w:rPr>
        <w:t>4</w:t>
      </w:r>
      <w:r w:rsidR="003A1856">
        <w:rPr>
          <w:noProof/>
        </w:rPr>
        <w:fldChar w:fldCharType="end"/>
      </w:r>
      <w:bookmarkEnd w:id="6"/>
      <w:r w:rsidRPr="00274EF6">
        <w:t xml:space="preserve">: </w:t>
      </w:r>
      <w:r w:rsidRPr="00172E34">
        <w:t>Sobreposição das curvas representativas da altura da camada livre de fumaça dos casos com as janelas abertas.</w:t>
      </w:r>
    </w:p>
    <w:p w14:paraId="67AA6F31" w14:textId="06816625" w:rsidR="00172E34" w:rsidRDefault="00172E34" w:rsidP="007D5918">
      <w:pPr>
        <w:pStyle w:val="Figura"/>
        <w:rPr>
          <w:rFonts w:cs="Calibri"/>
          <w:sz w:val="24"/>
          <w:szCs w:val="24"/>
        </w:rPr>
      </w:pPr>
      <w:r>
        <w:rPr>
          <w:noProof/>
          <w:lang w:eastAsia="pt-BR"/>
        </w:rPr>
        <w:drawing>
          <wp:inline distT="0" distB="0" distL="0" distR="0" wp14:anchorId="2D3847AC" wp14:editId="39BB731D">
            <wp:extent cx="3232150" cy="1744116"/>
            <wp:effectExtent l="0" t="0" r="6350" b="8890"/>
            <wp:docPr id="1417" name="Imagem 14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ltura da camada de fumaca_janelas abertas_sem titulo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2150" cy="1744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109C0E" w14:textId="77777777" w:rsidR="00717971" w:rsidRDefault="00717971" w:rsidP="00AF641E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u w:val="single"/>
        </w:rPr>
      </w:pPr>
    </w:p>
    <w:p w14:paraId="1078A9F5" w14:textId="017B2FAA" w:rsidR="00172E34" w:rsidRPr="00AF641E" w:rsidRDefault="00AF641E" w:rsidP="00AF641E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u w:val="single"/>
        </w:rPr>
      </w:pPr>
      <w:r>
        <w:rPr>
          <w:rFonts w:cs="Calibri"/>
          <w:u w:val="single"/>
        </w:rPr>
        <w:t>T</w:t>
      </w:r>
      <w:r w:rsidRPr="00AF641E">
        <w:rPr>
          <w:rFonts w:cs="Calibri"/>
          <w:u w:val="single"/>
        </w:rPr>
        <w:t>emperatura</w:t>
      </w:r>
      <w:r>
        <w:rPr>
          <w:rFonts w:cs="Calibri"/>
          <w:u w:val="single"/>
        </w:rPr>
        <w:t xml:space="preserve"> na cota de 1,80 m</w:t>
      </w:r>
    </w:p>
    <w:p w14:paraId="5860A29A" w14:textId="220230F8" w:rsidR="00AF641E" w:rsidRDefault="00AF641E" w:rsidP="00AF641E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AF641E">
        <w:rPr>
          <w:rFonts w:cs="Calibri"/>
        </w:rPr>
        <w:t>Observando apenas os casos com as janelas abertas, é notável o benefício proporcionado pela compartimentação seletiva, pois enquanto que no caso ‘</w:t>
      </w:r>
      <w:proofErr w:type="spellStart"/>
      <w:proofErr w:type="gramStart"/>
      <w:r w:rsidRPr="00AF641E">
        <w:rPr>
          <w:rFonts w:cs="Calibri"/>
        </w:rPr>
        <w:t>DIV</w:t>
      </w:r>
      <w:r w:rsidR="001C4BDC">
        <w:rPr>
          <w:rFonts w:cs="Calibri"/>
        </w:rPr>
        <w:t>plus_open</w:t>
      </w:r>
      <w:proofErr w:type="spellEnd"/>
      <w:proofErr w:type="gramEnd"/>
      <w:r w:rsidR="001C4BDC">
        <w:rPr>
          <w:rFonts w:cs="Calibri"/>
        </w:rPr>
        <w:t xml:space="preserve">’ a temperatura de 50 </w:t>
      </w:r>
      <w:r w:rsidR="001C4BDC">
        <w:rPr>
          <w:rFonts w:ascii="Century Schoolbook" w:hAnsi="Century Schoolbook" w:cs="Calibri"/>
        </w:rPr>
        <w:t>°</w:t>
      </w:r>
      <w:r w:rsidRPr="00AF641E">
        <w:rPr>
          <w:rFonts w:cs="Calibri"/>
        </w:rPr>
        <w:t>C foi atingida aos 120 segundos, nos demais o mesmo valor foi atingido sempre após 240 segundos de simulação</w:t>
      </w:r>
      <w:r w:rsidR="00717971">
        <w:rPr>
          <w:rFonts w:cs="Calibri"/>
        </w:rPr>
        <w:t xml:space="preserve"> (</w:t>
      </w:r>
      <w:r w:rsidR="00717971">
        <w:rPr>
          <w:rFonts w:cs="Calibri"/>
        </w:rPr>
        <w:fldChar w:fldCharType="begin"/>
      </w:r>
      <w:r w:rsidR="00717971">
        <w:rPr>
          <w:rFonts w:cs="Calibri"/>
        </w:rPr>
        <w:instrText xml:space="preserve"> REF _Ref440549625 \h </w:instrText>
      </w:r>
      <w:r w:rsidR="00717971">
        <w:rPr>
          <w:rFonts w:cs="Calibri"/>
        </w:rPr>
      </w:r>
      <w:r w:rsidR="00717971">
        <w:rPr>
          <w:rFonts w:cs="Calibri"/>
        </w:rPr>
        <w:fldChar w:fldCharType="separate"/>
      </w:r>
      <w:r w:rsidR="00C224B1" w:rsidRPr="00274EF6">
        <w:t xml:space="preserve">Figura </w:t>
      </w:r>
      <w:r w:rsidR="00C224B1">
        <w:rPr>
          <w:noProof/>
        </w:rPr>
        <w:t>5</w:t>
      </w:r>
      <w:r w:rsidR="00717971">
        <w:rPr>
          <w:rFonts w:cs="Calibri"/>
        </w:rPr>
        <w:fldChar w:fldCharType="end"/>
      </w:r>
      <w:r w:rsidR="00717971">
        <w:rPr>
          <w:rFonts w:cs="Calibri"/>
        </w:rPr>
        <w:t>)</w:t>
      </w:r>
      <w:r>
        <w:rPr>
          <w:rFonts w:cs="Calibri"/>
        </w:rPr>
        <w:t>.</w:t>
      </w:r>
    </w:p>
    <w:p w14:paraId="3ABB8FBD" w14:textId="0B29255B" w:rsidR="00AF641E" w:rsidRPr="00274EF6" w:rsidRDefault="00AF641E" w:rsidP="00AF641E">
      <w:pPr>
        <w:pStyle w:val="Legenda"/>
      </w:pPr>
      <w:bookmarkStart w:id="7" w:name="_Ref440549625"/>
      <w:r w:rsidRPr="00274EF6">
        <w:t xml:space="preserve">Figura </w:t>
      </w:r>
      <w:r w:rsidR="003A1856">
        <w:fldChar w:fldCharType="begin"/>
      </w:r>
      <w:r w:rsidR="003A1856">
        <w:instrText xml:space="preserve"> SEQ Figura \* ARABIC </w:instrText>
      </w:r>
      <w:r w:rsidR="003A1856">
        <w:fldChar w:fldCharType="separate"/>
      </w:r>
      <w:r w:rsidR="00C224B1">
        <w:rPr>
          <w:noProof/>
        </w:rPr>
        <w:t>5</w:t>
      </w:r>
      <w:r w:rsidR="003A1856">
        <w:rPr>
          <w:noProof/>
        </w:rPr>
        <w:fldChar w:fldCharType="end"/>
      </w:r>
      <w:bookmarkEnd w:id="7"/>
      <w:r w:rsidRPr="00274EF6">
        <w:t xml:space="preserve">: </w:t>
      </w:r>
      <w:r w:rsidR="001C4BDC">
        <w:t>Gráfico com a s</w:t>
      </w:r>
      <w:r w:rsidRPr="00AF641E">
        <w:t>obreposição das curvas representativas da elevação temporal da temperatura na cota de 1,80m dos casos com as janelas abertas.</w:t>
      </w:r>
    </w:p>
    <w:p w14:paraId="7980D778" w14:textId="306C9F45" w:rsidR="00AF641E" w:rsidRPr="00AF641E" w:rsidRDefault="00AF641E" w:rsidP="007D5918">
      <w:pPr>
        <w:pStyle w:val="Figura"/>
        <w:rPr>
          <w:rFonts w:cs="Calibri"/>
        </w:rPr>
      </w:pPr>
      <w:r>
        <w:rPr>
          <w:noProof/>
          <w:lang w:eastAsia="pt-BR"/>
        </w:rPr>
        <w:drawing>
          <wp:inline distT="0" distB="0" distL="0" distR="0" wp14:anchorId="5226D615" wp14:editId="273E1E06">
            <wp:extent cx="3232150" cy="1589149"/>
            <wp:effectExtent l="19050" t="19050" r="25400" b="11430"/>
            <wp:docPr id="1484" name="Imagem 14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eratura 1,8m janelas abertas.jpg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02" t="10606" r="1604" b="1819"/>
                    <a:stretch/>
                  </pic:blipFill>
                  <pic:spPr bwMode="auto">
                    <a:xfrm>
                      <a:off x="0" y="0"/>
                      <a:ext cx="3232150" cy="1589149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8C7BA32" w14:textId="10F20922" w:rsidR="00AF641E" w:rsidRPr="007D5918" w:rsidRDefault="007D5918" w:rsidP="007D5918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7D5918">
        <w:rPr>
          <w:rFonts w:cs="Calibri"/>
        </w:rPr>
        <w:t xml:space="preserve">Nos casos simulados com as janelas fechadas </w:t>
      </w:r>
      <w:r w:rsidR="00340833">
        <w:rPr>
          <w:rFonts w:cs="Calibri"/>
        </w:rPr>
        <w:t>o</w:t>
      </w:r>
      <w:r w:rsidR="00340833" w:rsidRPr="00340833">
        <w:rPr>
          <w:rFonts w:cs="Calibri"/>
        </w:rPr>
        <w:t xml:space="preserve"> melhor resultado obtido com a implantação da compartimentação seletiva, com as maiores aberturas na divisória e na laje, foi um acréscimo de pouco mais de 40% no tempo de evacuação da s</w:t>
      </w:r>
      <w:r w:rsidR="001C4BDC">
        <w:rPr>
          <w:rFonts w:cs="Calibri"/>
        </w:rPr>
        <w:t>ala em relação ao caso de referê</w:t>
      </w:r>
      <w:r w:rsidR="00340833" w:rsidRPr="00340833">
        <w:rPr>
          <w:rFonts w:cs="Calibri"/>
        </w:rPr>
        <w:t>ncia</w:t>
      </w:r>
      <w:r w:rsidR="001C4BDC">
        <w:rPr>
          <w:rFonts w:cs="Calibri"/>
        </w:rPr>
        <w:t xml:space="preserve"> ‘</w:t>
      </w:r>
      <w:proofErr w:type="spellStart"/>
      <w:proofErr w:type="gramStart"/>
      <w:r w:rsidR="001C4BDC">
        <w:rPr>
          <w:rFonts w:cs="Calibri"/>
        </w:rPr>
        <w:t>DIVplus</w:t>
      </w:r>
      <w:proofErr w:type="spellEnd"/>
      <w:proofErr w:type="gramEnd"/>
      <w:r w:rsidR="001C4BDC">
        <w:rPr>
          <w:rFonts w:cs="Calibri"/>
        </w:rPr>
        <w:t>’,</w:t>
      </w:r>
      <w:r w:rsidR="00340833" w:rsidRPr="00340833">
        <w:rPr>
          <w:rFonts w:cs="Calibri"/>
        </w:rPr>
        <w:t xml:space="preserve"> caracterizado pela divisória simples. Nos demais casos, o incremento concentra-se na faixa dos 10% e 20%, com poucos casos acima de 30%</w:t>
      </w:r>
      <w:r w:rsidR="00717971">
        <w:rPr>
          <w:rFonts w:cs="Calibri"/>
        </w:rPr>
        <w:t xml:space="preserve"> (</w:t>
      </w:r>
      <w:r w:rsidR="00717971">
        <w:rPr>
          <w:rFonts w:cs="Calibri"/>
        </w:rPr>
        <w:fldChar w:fldCharType="begin"/>
      </w:r>
      <w:r w:rsidR="00717971">
        <w:rPr>
          <w:rFonts w:cs="Calibri"/>
        </w:rPr>
        <w:instrText xml:space="preserve"> REF _Ref440549600 \h </w:instrText>
      </w:r>
      <w:r w:rsidR="00717971">
        <w:rPr>
          <w:rFonts w:cs="Calibri"/>
        </w:rPr>
      </w:r>
      <w:r w:rsidR="00717971">
        <w:rPr>
          <w:rFonts w:cs="Calibri"/>
        </w:rPr>
        <w:fldChar w:fldCharType="separate"/>
      </w:r>
      <w:r w:rsidR="00C224B1" w:rsidRPr="00274EF6">
        <w:t xml:space="preserve">Figura </w:t>
      </w:r>
      <w:r w:rsidR="00C224B1">
        <w:rPr>
          <w:noProof/>
        </w:rPr>
        <w:t>6</w:t>
      </w:r>
      <w:r w:rsidR="00717971">
        <w:rPr>
          <w:rFonts w:cs="Calibri"/>
        </w:rPr>
        <w:fldChar w:fldCharType="end"/>
      </w:r>
      <w:r w:rsidR="00717971">
        <w:rPr>
          <w:rFonts w:cs="Calibri"/>
        </w:rPr>
        <w:t>)</w:t>
      </w:r>
      <w:r w:rsidR="00340833">
        <w:rPr>
          <w:rFonts w:cs="Calibri"/>
        </w:rPr>
        <w:t>.</w:t>
      </w:r>
    </w:p>
    <w:p w14:paraId="02D96A91" w14:textId="3A22E3BA" w:rsidR="007D5918" w:rsidRPr="00274EF6" w:rsidRDefault="007D5918" w:rsidP="007D5918">
      <w:pPr>
        <w:pStyle w:val="Legenda"/>
      </w:pPr>
      <w:bookmarkStart w:id="8" w:name="_Ref440549600"/>
      <w:r w:rsidRPr="00274EF6">
        <w:lastRenderedPageBreak/>
        <w:t xml:space="preserve">Figura </w:t>
      </w:r>
      <w:r w:rsidR="003A1856">
        <w:fldChar w:fldCharType="begin"/>
      </w:r>
      <w:r w:rsidR="003A1856">
        <w:instrText xml:space="preserve"> SEQ Figura \* ARABIC </w:instrText>
      </w:r>
      <w:r w:rsidR="003A1856">
        <w:fldChar w:fldCharType="separate"/>
      </w:r>
      <w:r w:rsidR="00C224B1">
        <w:rPr>
          <w:noProof/>
        </w:rPr>
        <w:t>6</w:t>
      </w:r>
      <w:r w:rsidR="003A1856">
        <w:rPr>
          <w:noProof/>
        </w:rPr>
        <w:fldChar w:fldCharType="end"/>
      </w:r>
      <w:bookmarkEnd w:id="8"/>
      <w:r w:rsidRPr="00274EF6">
        <w:t xml:space="preserve">: </w:t>
      </w:r>
      <w:r w:rsidR="00340833" w:rsidRPr="00340833">
        <w:t>Incremento no temp</w:t>
      </w:r>
      <w:r w:rsidR="005F2D17">
        <w:t>o de escape - Janelas fechadas [</w:t>
      </w:r>
      <w:r w:rsidR="00340833" w:rsidRPr="00340833">
        <w:t>Temp.&lt;50 ºC; h=1,80 m</w:t>
      </w:r>
      <w:r w:rsidR="005F2D17">
        <w:t>]</w:t>
      </w:r>
      <w:r w:rsidR="00340833">
        <w:t>.</w:t>
      </w:r>
    </w:p>
    <w:p w14:paraId="7DD40BC2" w14:textId="5C8DABD9" w:rsidR="00AF641E" w:rsidRDefault="00340833" w:rsidP="007D5918">
      <w:pPr>
        <w:pStyle w:val="Figura"/>
        <w:rPr>
          <w:rFonts w:cs="Calibri"/>
        </w:rPr>
      </w:pPr>
      <w:r>
        <w:rPr>
          <w:noProof/>
          <w:lang w:eastAsia="pt-BR"/>
        </w:rPr>
        <w:drawing>
          <wp:inline distT="0" distB="0" distL="0" distR="0" wp14:anchorId="42067C53" wp14:editId="415FE8EC">
            <wp:extent cx="3232150" cy="1373753"/>
            <wp:effectExtent l="19050" t="19050" r="25400" b="17145"/>
            <wp:docPr id="1755" name="Imagem 17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o de escape janelas fechadas porcentagem.jpg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48" t="8342" r="1048" b="2455"/>
                    <a:stretch/>
                  </pic:blipFill>
                  <pic:spPr bwMode="auto">
                    <a:xfrm>
                      <a:off x="0" y="0"/>
                      <a:ext cx="3232150" cy="1373753"/>
                    </a:xfrm>
                    <a:prstGeom prst="rect">
                      <a:avLst/>
                    </a:prstGeom>
                    <a:ln>
                      <a:solidFill>
                        <a:sysClr val="window" lastClr="FFFFFF">
                          <a:lumMod val="65000"/>
                        </a:sys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F9DFE72" w14:textId="77777777" w:rsidR="007D5918" w:rsidRPr="007D5918" w:rsidRDefault="007D5918" w:rsidP="007D5918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14:paraId="19351F7F" w14:textId="1AE26CBE" w:rsidR="00CF1E74" w:rsidRDefault="00CF1E74" w:rsidP="00781BE5">
      <w:pPr>
        <w:keepNext/>
        <w:autoSpaceDE w:val="0"/>
        <w:autoSpaceDN w:val="0"/>
        <w:adjustRightInd w:val="0"/>
        <w:spacing w:after="0" w:line="240" w:lineRule="auto"/>
        <w:rPr>
          <w:rFonts w:cs="Calibri"/>
          <w:b/>
          <w:sz w:val="24"/>
          <w:szCs w:val="24"/>
        </w:rPr>
      </w:pPr>
      <w:r w:rsidRPr="0020318F">
        <w:rPr>
          <w:rFonts w:cs="Calibri"/>
          <w:b/>
          <w:sz w:val="24"/>
          <w:szCs w:val="24"/>
        </w:rPr>
        <w:t>CON</w:t>
      </w:r>
      <w:r w:rsidR="00D22DFD">
        <w:rPr>
          <w:rFonts w:cs="Calibri"/>
          <w:b/>
          <w:sz w:val="24"/>
          <w:szCs w:val="24"/>
        </w:rPr>
        <w:t>SIDERAÇÕES FINAI</w:t>
      </w:r>
      <w:r w:rsidRPr="0020318F">
        <w:rPr>
          <w:rFonts w:cs="Calibri"/>
          <w:b/>
          <w:sz w:val="24"/>
          <w:szCs w:val="24"/>
        </w:rPr>
        <w:t>S</w:t>
      </w:r>
    </w:p>
    <w:p w14:paraId="7B726D84" w14:textId="77777777" w:rsidR="000E4361" w:rsidRPr="003F4FF8" w:rsidRDefault="000E4361" w:rsidP="00781BE5">
      <w:pPr>
        <w:keepNext/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4A64DDE4" w14:textId="2BE1322E" w:rsidR="00CF1E74" w:rsidRDefault="00340833" w:rsidP="00340833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340833">
        <w:rPr>
          <w:rFonts w:cs="Calibri"/>
        </w:rPr>
        <w:t xml:space="preserve">Uma das vantagens da compartimentação seletiva proposta é a capacidade de </w:t>
      </w:r>
      <w:proofErr w:type="gramStart"/>
      <w:r w:rsidR="001C4BDC" w:rsidRPr="001C4BDC">
        <w:rPr>
          <w:rFonts w:cs="Calibri"/>
        </w:rPr>
        <w:t>implementá</w:t>
      </w:r>
      <w:proofErr w:type="gramEnd"/>
      <w:r w:rsidR="001C4BDC" w:rsidRPr="001C4BDC">
        <w:rPr>
          <w:rFonts w:cs="Calibri"/>
        </w:rPr>
        <w:t>-la</w:t>
      </w:r>
      <w:r w:rsidRPr="00340833">
        <w:rPr>
          <w:rFonts w:cs="Calibri"/>
        </w:rPr>
        <w:t xml:space="preserve"> na fase de ocupação, </w:t>
      </w:r>
      <w:r w:rsidR="001C4BDC">
        <w:rPr>
          <w:rFonts w:cs="Calibri"/>
        </w:rPr>
        <w:t>quando</w:t>
      </w:r>
      <w:r w:rsidRPr="00340833">
        <w:rPr>
          <w:rFonts w:cs="Calibri"/>
        </w:rPr>
        <w:t xml:space="preserve"> as possibilidades de atingir a compartimentação normativa são onerosas ou inexequíveis. Todavia, é notável a natural perda de área útil em função da largura do vão criado entre as divisórias. Logo, há de se ponderar a implantação da compartimentação seletiva quando há escassez de área diante do uso previsto.</w:t>
      </w:r>
    </w:p>
    <w:p w14:paraId="3114601A" w14:textId="3E57C5FB" w:rsidR="00340833" w:rsidRPr="00340833" w:rsidRDefault="001C4BDC" w:rsidP="00340833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>
        <w:rPr>
          <w:rFonts w:cs="Calibri"/>
        </w:rPr>
        <w:t>Nos</w:t>
      </w:r>
      <w:r w:rsidR="00340833" w:rsidRPr="00340833">
        <w:rPr>
          <w:rFonts w:cs="Calibri"/>
        </w:rPr>
        <w:t xml:space="preserve"> resultados </w:t>
      </w:r>
      <w:r>
        <w:rPr>
          <w:rFonts w:cs="Calibri"/>
        </w:rPr>
        <w:t>obtidos observou-se</w:t>
      </w:r>
      <w:r w:rsidR="00340833" w:rsidRPr="00340833">
        <w:rPr>
          <w:rFonts w:cs="Calibri"/>
        </w:rPr>
        <w:t xml:space="preserve"> que a compartimentação seletiva proposta </w:t>
      </w:r>
      <w:r w:rsidR="00F62804">
        <w:rPr>
          <w:rFonts w:cs="Calibri"/>
        </w:rPr>
        <w:t>foi</w:t>
      </w:r>
      <w:r w:rsidR="00340833" w:rsidRPr="00340833">
        <w:rPr>
          <w:rFonts w:cs="Calibri"/>
        </w:rPr>
        <w:t xml:space="preserve"> capaz de </w:t>
      </w:r>
      <w:r w:rsidR="00F62804" w:rsidRPr="00340833">
        <w:rPr>
          <w:rFonts w:cs="Calibri"/>
        </w:rPr>
        <w:t xml:space="preserve">promover maior altura da camada livre de fumaça </w:t>
      </w:r>
      <w:r w:rsidR="00340833" w:rsidRPr="00340833">
        <w:rPr>
          <w:rFonts w:cs="Calibri"/>
        </w:rPr>
        <w:t>nos casos simulados com as janelas fechadas</w:t>
      </w:r>
      <w:r w:rsidR="00F62804">
        <w:rPr>
          <w:rFonts w:cs="Calibri"/>
        </w:rPr>
        <w:t>,</w:t>
      </w:r>
      <w:r w:rsidR="00340833" w:rsidRPr="00340833">
        <w:rPr>
          <w:rFonts w:cs="Calibri"/>
        </w:rPr>
        <w:t xml:space="preserve"> o que tende a tornar a evacuação mais segura. </w:t>
      </w:r>
      <w:r w:rsidR="00F62804">
        <w:rPr>
          <w:rFonts w:cs="Calibri"/>
        </w:rPr>
        <w:t xml:space="preserve">O mesmo benefício não ocorreu nos casos simulados com as janelas abertas. </w:t>
      </w:r>
      <w:r w:rsidR="00340833" w:rsidRPr="00340833">
        <w:rPr>
          <w:rFonts w:cs="Calibri"/>
        </w:rPr>
        <w:t>Destaca-se</w:t>
      </w:r>
      <w:r w:rsidR="00F62804">
        <w:rPr>
          <w:rFonts w:cs="Calibri"/>
        </w:rPr>
        <w:t xml:space="preserve"> </w:t>
      </w:r>
      <w:r w:rsidR="00340833" w:rsidRPr="00340833">
        <w:rPr>
          <w:rFonts w:cs="Calibri"/>
        </w:rPr>
        <w:t>a redução da temperatura e o maior tempo para atingir o limiar da sobrevivência na cota representativa da altura de um individuo adulto. Todavia, considerando que uma fração significativa dos ambientes universitários é climatizada artificialmente, a atuação e eficácia da compartimentação seletiva dependem de um sistema de vedação das aberturas na divisória e na laje que seja capaz de liberá-las rapidamente em uma situação de incêndio.</w:t>
      </w:r>
    </w:p>
    <w:p w14:paraId="75B7A56D" w14:textId="77777777" w:rsidR="00340833" w:rsidRPr="00340833" w:rsidRDefault="00340833" w:rsidP="00340833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340833">
        <w:rPr>
          <w:rFonts w:cs="Calibri"/>
        </w:rPr>
        <w:t>Reconhece-se que as simulações realizadas apresentam limitações de ordem teórica e operacional, logo os resultados obtidos são específicos dos modelos e das condições de contorno adotadas. A extrapolação dos resultados para demais casos pode gerar conclusões equivocadas.</w:t>
      </w:r>
    </w:p>
    <w:p w14:paraId="4C981E38" w14:textId="5FAE783A" w:rsidR="00340833" w:rsidRPr="00340833" w:rsidRDefault="00340833" w:rsidP="00340833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340833">
        <w:rPr>
          <w:rFonts w:cs="Calibri"/>
        </w:rPr>
        <w:t>Por fim, a compartimentação horizontal seletiva</w:t>
      </w:r>
      <w:r w:rsidR="00F62804">
        <w:rPr>
          <w:rFonts w:cs="Calibri"/>
        </w:rPr>
        <w:t xml:space="preserve"> proposta</w:t>
      </w:r>
      <w:r w:rsidRPr="00340833">
        <w:rPr>
          <w:rFonts w:cs="Calibri"/>
        </w:rPr>
        <w:t xml:space="preserve"> induz a uma quebra da compartimentação vertical, tendo em vista a necessidade de disposição de aberturas na laje para a exaustão da fumaça. Logo, o sistema proposto só se aplicaria a edificações térreas e </w:t>
      </w:r>
      <w:r w:rsidR="007755AF">
        <w:rPr>
          <w:rFonts w:cs="Calibri"/>
        </w:rPr>
        <w:t>que</w:t>
      </w:r>
      <w:r w:rsidRPr="00340833">
        <w:rPr>
          <w:rFonts w:cs="Calibri"/>
        </w:rPr>
        <w:t xml:space="preserve"> comportam baixa carga de incêndio</w:t>
      </w:r>
      <w:r w:rsidR="007755AF">
        <w:rPr>
          <w:rFonts w:cs="Calibri"/>
        </w:rPr>
        <w:t xml:space="preserve">. Em edificações </w:t>
      </w:r>
      <w:r w:rsidR="007755AF">
        <w:rPr>
          <w:rFonts w:cs="Calibri"/>
        </w:rPr>
        <w:lastRenderedPageBreak/>
        <w:t xml:space="preserve">com mais de um pavimento ou </w:t>
      </w:r>
      <w:r w:rsidRPr="00340833">
        <w:rPr>
          <w:rFonts w:cs="Calibri"/>
        </w:rPr>
        <w:t xml:space="preserve">com elevada carga de incêndio o sistema proposto torna-se desinteressante em função da </w:t>
      </w:r>
      <w:r w:rsidR="00F62804">
        <w:rPr>
          <w:rFonts w:cs="Calibri"/>
        </w:rPr>
        <w:t xml:space="preserve">primazia </w:t>
      </w:r>
      <w:r w:rsidRPr="00340833">
        <w:rPr>
          <w:rFonts w:cs="Calibri"/>
        </w:rPr>
        <w:t xml:space="preserve">da compartimentação vertical perante a horizontal na promoção da SCIE. </w:t>
      </w:r>
      <w:r w:rsidR="007755AF">
        <w:rPr>
          <w:rFonts w:cs="Calibri"/>
        </w:rPr>
        <w:t>Por fim</w:t>
      </w:r>
      <w:r w:rsidRPr="00340833">
        <w:rPr>
          <w:rFonts w:cs="Calibri"/>
        </w:rPr>
        <w:t xml:space="preserve">, aspectos de ordem prática, tais como: uma solução de proteção contra a chuva para o vão </w:t>
      </w:r>
      <w:r w:rsidR="007755AF">
        <w:rPr>
          <w:rFonts w:cs="Calibri"/>
        </w:rPr>
        <w:t>disposto</w:t>
      </w:r>
      <w:r w:rsidRPr="00340833">
        <w:rPr>
          <w:rFonts w:cs="Calibri"/>
        </w:rPr>
        <w:t xml:space="preserve"> na laje e a necessidade de um sistema automático para a liberação da abertura na divisória, tornam a implantação da compartimentação seletiva pouco interessante comercialmente, principalmente diante </w:t>
      </w:r>
      <w:r w:rsidR="007755AF">
        <w:rPr>
          <w:rFonts w:cs="Calibri"/>
        </w:rPr>
        <w:t xml:space="preserve">da </w:t>
      </w:r>
      <w:r w:rsidR="007755AF" w:rsidRPr="00340833">
        <w:rPr>
          <w:rFonts w:cs="Calibri"/>
        </w:rPr>
        <w:t xml:space="preserve">pouca expressividade </w:t>
      </w:r>
      <w:r w:rsidR="007755AF">
        <w:rPr>
          <w:rFonts w:cs="Calibri"/>
        </w:rPr>
        <w:t>dos benefícios proporcionados por ela</w:t>
      </w:r>
      <w:r w:rsidRPr="00340833">
        <w:rPr>
          <w:rFonts w:cs="Calibri"/>
        </w:rPr>
        <w:t>.</w:t>
      </w:r>
    </w:p>
    <w:p w14:paraId="14F43760" w14:textId="77777777" w:rsidR="005F2D17" w:rsidRDefault="005F2D17" w:rsidP="007B2EAF">
      <w:pPr>
        <w:autoSpaceDE w:val="0"/>
        <w:autoSpaceDN w:val="0"/>
        <w:adjustRightInd w:val="0"/>
        <w:spacing w:after="0" w:line="240" w:lineRule="auto"/>
        <w:rPr>
          <w:rFonts w:cs="Calibri"/>
          <w:b/>
          <w:sz w:val="24"/>
          <w:szCs w:val="24"/>
        </w:rPr>
      </w:pPr>
    </w:p>
    <w:p w14:paraId="1AA15576" w14:textId="416E4F8C" w:rsidR="00CF1E74" w:rsidRPr="003F4FF8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 w:rsidRPr="0020318F">
        <w:rPr>
          <w:rFonts w:cs="Calibri"/>
          <w:b/>
          <w:sz w:val="24"/>
          <w:szCs w:val="24"/>
        </w:rPr>
        <w:t>AGRADECIMENTOS</w:t>
      </w:r>
    </w:p>
    <w:p w14:paraId="3A585D58" w14:textId="77777777" w:rsidR="00863708" w:rsidRDefault="00863708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6B01CBC3" w14:textId="1C7F5A69" w:rsidR="00CF1E74" w:rsidRPr="00852EDB" w:rsidRDefault="00681B2D" w:rsidP="00D055D1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681B2D">
        <w:rPr>
          <w:rFonts w:cs="Calibri"/>
        </w:rPr>
        <w:t xml:space="preserve">Aos gestores e conselheiros da UFERSA, por terem aprovado o </w:t>
      </w:r>
      <w:r w:rsidR="007755AF" w:rsidRPr="00681B2D">
        <w:rPr>
          <w:rFonts w:cs="Calibri"/>
        </w:rPr>
        <w:t xml:space="preserve">imprescindível </w:t>
      </w:r>
      <w:r w:rsidRPr="00681B2D">
        <w:rPr>
          <w:rFonts w:cs="Calibri"/>
        </w:rPr>
        <w:t>afastamento funcional d</w:t>
      </w:r>
      <w:r w:rsidR="007755AF">
        <w:rPr>
          <w:rFonts w:cs="Calibri"/>
        </w:rPr>
        <w:t>o autor</w:t>
      </w:r>
      <w:r w:rsidRPr="00681B2D">
        <w:rPr>
          <w:rFonts w:cs="Calibri"/>
        </w:rPr>
        <w:t xml:space="preserve"> desse trabalho para o desenvolvimento da pesquisa.</w:t>
      </w:r>
    </w:p>
    <w:p w14:paraId="3EF2ED07" w14:textId="77777777" w:rsidR="00CF1E74" w:rsidRPr="003F4FF8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087C02AF" w14:textId="3A677BDE" w:rsidR="00CF1E74" w:rsidRPr="003F4FF8" w:rsidRDefault="00CF1E74" w:rsidP="00EC2AC1">
      <w:pPr>
        <w:keepNext/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 w:rsidRPr="00863708">
        <w:rPr>
          <w:rFonts w:cs="Calibri"/>
          <w:b/>
          <w:sz w:val="24"/>
          <w:szCs w:val="24"/>
        </w:rPr>
        <w:t>REFERÊNCIAS BIBLIOGRÁFICAS</w:t>
      </w:r>
    </w:p>
    <w:p w14:paraId="187F9E96" w14:textId="77777777" w:rsidR="00CF1E74" w:rsidRDefault="00CF1E74" w:rsidP="00EC2AC1">
      <w:pPr>
        <w:keepNext/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</w:p>
    <w:p w14:paraId="781B51FA" w14:textId="13F8AB1D" w:rsidR="00717971" w:rsidRPr="00717971" w:rsidRDefault="00717971" w:rsidP="000B058E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0"/>
          <w:szCs w:val="20"/>
        </w:rPr>
      </w:pPr>
      <w:r w:rsidRPr="00717971">
        <w:rPr>
          <w:rFonts w:cs="Calibri"/>
          <w:sz w:val="20"/>
          <w:szCs w:val="20"/>
        </w:rPr>
        <w:t xml:space="preserve">ALVES, Alessandra Beatriz Carneiro Gonçalves. </w:t>
      </w:r>
      <w:r w:rsidRPr="00717971">
        <w:rPr>
          <w:rFonts w:cs="Calibri"/>
          <w:b/>
          <w:sz w:val="20"/>
          <w:szCs w:val="20"/>
        </w:rPr>
        <w:t>A questão do escape em edifícios altos:</w:t>
      </w:r>
      <w:r w:rsidRPr="00717971">
        <w:rPr>
          <w:rFonts w:cs="Calibri"/>
          <w:sz w:val="20"/>
          <w:szCs w:val="20"/>
        </w:rPr>
        <w:t xml:space="preserve"> </w:t>
      </w:r>
      <w:r w:rsidRPr="00717971">
        <w:rPr>
          <w:rFonts w:cs="Calibri"/>
          <w:sz w:val="20"/>
          <w:szCs w:val="20"/>
          <w:u w:val="single"/>
        </w:rPr>
        <w:t>A influência da fumaça de incêndio na proteção da vida.</w:t>
      </w:r>
      <w:r w:rsidRPr="00717971">
        <w:rPr>
          <w:rFonts w:cs="Calibri"/>
          <w:sz w:val="20"/>
          <w:szCs w:val="20"/>
        </w:rPr>
        <w:t xml:space="preserve"> </w:t>
      </w:r>
      <w:r w:rsidR="00BA4F41">
        <w:rPr>
          <w:rFonts w:cs="Calibri"/>
          <w:sz w:val="20"/>
          <w:szCs w:val="20"/>
        </w:rPr>
        <w:t>Tese</w:t>
      </w:r>
      <w:r w:rsidRPr="00717971">
        <w:rPr>
          <w:rFonts w:cs="Calibri"/>
          <w:sz w:val="20"/>
          <w:szCs w:val="20"/>
        </w:rPr>
        <w:t xml:space="preserve"> (</w:t>
      </w:r>
      <w:r w:rsidR="00BA4F41">
        <w:rPr>
          <w:rFonts w:cs="Calibri"/>
          <w:sz w:val="20"/>
          <w:szCs w:val="20"/>
        </w:rPr>
        <w:t>Doutorado</w:t>
      </w:r>
      <w:r w:rsidRPr="00717971">
        <w:rPr>
          <w:rFonts w:cs="Calibri"/>
          <w:sz w:val="20"/>
          <w:szCs w:val="20"/>
        </w:rPr>
        <w:t>) - Faculdade de Arquitetura e Urbanismo da Universidade de Brasília – FAU/UNB. Brasília, 2010. 286 p.</w:t>
      </w:r>
    </w:p>
    <w:p w14:paraId="14B6105E" w14:textId="77777777" w:rsidR="00717971" w:rsidRPr="00717971" w:rsidRDefault="00717971" w:rsidP="000B058E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</w:p>
    <w:p w14:paraId="3E79E60B" w14:textId="6E221333" w:rsidR="00717971" w:rsidRDefault="00717971" w:rsidP="000B058E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0"/>
          <w:szCs w:val="20"/>
        </w:rPr>
      </w:pPr>
      <w:r w:rsidRPr="00717971">
        <w:rPr>
          <w:rFonts w:cs="Calibri"/>
          <w:sz w:val="20"/>
          <w:szCs w:val="20"/>
        </w:rPr>
        <w:t xml:space="preserve">COSTA, Carla Neves; ONO, Rosária; SILVA, Valdir </w:t>
      </w:r>
      <w:proofErr w:type="spellStart"/>
      <w:r w:rsidRPr="00717971">
        <w:rPr>
          <w:rFonts w:cs="Calibri"/>
          <w:sz w:val="20"/>
          <w:szCs w:val="20"/>
        </w:rPr>
        <w:t>Pignatta</w:t>
      </w:r>
      <w:proofErr w:type="spellEnd"/>
      <w:r w:rsidRPr="00717971">
        <w:rPr>
          <w:rFonts w:cs="Calibri"/>
          <w:sz w:val="20"/>
          <w:szCs w:val="20"/>
        </w:rPr>
        <w:t xml:space="preserve">. </w:t>
      </w:r>
      <w:r w:rsidRPr="00717971">
        <w:rPr>
          <w:rFonts w:cs="Calibri"/>
          <w:b/>
          <w:sz w:val="20"/>
          <w:szCs w:val="20"/>
        </w:rPr>
        <w:t>A importância da compartimentação e suas implicações no dimensionamento das estruturas de concreto para situação de incêndio.</w:t>
      </w:r>
      <w:r w:rsidRPr="00717971">
        <w:rPr>
          <w:rFonts w:cs="Calibri"/>
          <w:sz w:val="20"/>
          <w:szCs w:val="20"/>
        </w:rPr>
        <w:t xml:space="preserve"> In: Anais do 47º Congresso Brasileiro do Concreto - CBC2005, Recife/PE. 2005. (26p.) ISBN 85-98576-07-7.</w:t>
      </w:r>
    </w:p>
    <w:p w14:paraId="7AE6816A" w14:textId="77777777" w:rsidR="00C30AA8" w:rsidRPr="00717971" w:rsidRDefault="00C30AA8" w:rsidP="000B058E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0"/>
          <w:szCs w:val="20"/>
        </w:rPr>
      </w:pPr>
    </w:p>
    <w:p w14:paraId="703BF1D5" w14:textId="0CAFF254" w:rsidR="0022271E" w:rsidRPr="00BA4F41" w:rsidRDefault="000B058E" w:rsidP="000B058E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0"/>
          <w:szCs w:val="20"/>
        </w:rPr>
      </w:pPr>
      <w:r w:rsidRPr="00717971">
        <w:rPr>
          <w:rFonts w:cs="Calibri"/>
          <w:sz w:val="20"/>
          <w:szCs w:val="20"/>
        </w:rPr>
        <w:t xml:space="preserve">PORANTIM, Maurício. </w:t>
      </w:r>
      <w:r w:rsidRPr="00717971">
        <w:rPr>
          <w:rFonts w:cs="Calibri"/>
          <w:b/>
          <w:sz w:val="20"/>
          <w:szCs w:val="20"/>
        </w:rPr>
        <w:t>O Método hipotético-dedutivo</w:t>
      </w:r>
      <w:r w:rsidRPr="00717971">
        <w:rPr>
          <w:rFonts w:cs="Calibri"/>
          <w:sz w:val="20"/>
          <w:szCs w:val="20"/>
        </w:rPr>
        <w:t xml:space="preserve">. Livre Pensamento, (internet) 2013. Disponível em: &lt;http://livrepensamento.com/2013/10/01/o-metodo-hipotetico-dedutivo/&gt;. </w:t>
      </w:r>
      <w:r w:rsidRPr="00BA4F41">
        <w:rPr>
          <w:rFonts w:cs="Calibri"/>
          <w:sz w:val="20"/>
          <w:szCs w:val="20"/>
        </w:rPr>
        <w:t>Acesso em: 30 jun. 2015.</w:t>
      </w:r>
    </w:p>
    <w:p w14:paraId="67CB3D99" w14:textId="77777777" w:rsidR="00717971" w:rsidRPr="00717971" w:rsidRDefault="00717971" w:rsidP="00717971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0"/>
          <w:szCs w:val="20"/>
        </w:rPr>
      </w:pPr>
    </w:p>
    <w:p w14:paraId="7B0705EC" w14:textId="77777777" w:rsidR="00717971" w:rsidRPr="00717971" w:rsidRDefault="00717971" w:rsidP="00717971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0"/>
          <w:szCs w:val="20"/>
        </w:rPr>
      </w:pPr>
      <w:r w:rsidRPr="00717971">
        <w:rPr>
          <w:rFonts w:cs="Calibri"/>
          <w:sz w:val="20"/>
          <w:szCs w:val="20"/>
          <w:lang w:val="en-US"/>
        </w:rPr>
        <w:t xml:space="preserve">GISSI, </w:t>
      </w:r>
      <w:proofErr w:type="spellStart"/>
      <w:r w:rsidRPr="00717971">
        <w:rPr>
          <w:rFonts w:cs="Calibri"/>
          <w:sz w:val="20"/>
          <w:szCs w:val="20"/>
          <w:lang w:val="en-US"/>
        </w:rPr>
        <w:t>Emanuele</w:t>
      </w:r>
      <w:proofErr w:type="spellEnd"/>
      <w:r w:rsidRPr="00717971">
        <w:rPr>
          <w:rFonts w:cs="Calibri"/>
          <w:sz w:val="20"/>
          <w:szCs w:val="20"/>
          <w:lang w:val="en-US"/>
        </w:rPr>
        <w:t xml:space="preserve">. </w:t>
      </w:r>
      <w:r w:rsidRPr="00717971">
        <w:rPr>
          <w:rFonts w:cs="Calibri"/>
          <w:b/>
          <w:sz w:val="20"/>
          <w:szCs w:val="20"/>
          <w:lang w:val="en-US"/>
        </w:rPr>
        <w:t xml:space="preserve">An introduction to Fire Simulation with FDS and </w:t>
      </w:r>
      <w:proofErr w:type="spellStart"/>
      <w:r w:rsidRPr="00717971">
        <w:rPr>
          <w:rFonts w:cs="Calibri"/>
          <w:b/>
          <w:sz w:val="20"/>
          <w:szCs w:val="20"/>
          <w:lang w:val="en-US"/>
        </w:rPr>
        <w:t>Smokeview</w:t>
      </w:r>
      <w:proofErr w:type="spellEnd"/>
      <w:r w:rsidRPr="00717971">
        <w:rPr>
          <w:rFonts w:cs="Calibri"/>
          <w:b/>
          <w:sz w:val="20"/>
          <w:szCs w:val="20"/>
          <w:lang w:val="en-US"/>
        </w:rPr>
        <w:t>:</w:t>
      </w:r>
      <w:r w:rsidRPr="00717971">
        <w:rPr>
          <w:rFonts w:cs="Calibri"/>
          <w:sz w:val="20"/>
          <w:szCs w:val="20"/>
          <w:lang w:val="en-US"/>
        </w:rPr>
        <w:t xml:space="preserve"> </w:t>
      </w:r>
      <w:r w:rsidRPr="00717971">
        <w:rPr>
          <w:rFonts w:cs="Calibri"/>
          <w:sz w:val="20"/>
          <w:szCs w:val="20"/>
          <w:u w:val="single"/>
          <w:lang w:val="en-US"/>
        </w:rPr>
        <w:t xml:space="preserve">Updated to FDS 5.5.1 and </w:t>
      </w:r>
      <w:proofErr w:type="spellStart"/>
      <w:r w:rsidRPr="00717971">
        <w:rPr>
          <w:rFonts w:cs="Calibri"/>
          <w:sz w:val="20"/>
          <w:szCs w:val="20"/>
          <w:u w:val="single"/>
          <w:lang w:val="en-US"/>
        </w:rPr>
        <w:t>BlenderFDS</w:t>
      </w:r>
      <w:proofErr w:type="spellEnd"/>
      <w:r w:rsidRPr="00717971">
        <w:rPr>
          <w:rFonts w:cs="Calibri"/>
          <w:sz w:val="20"/>
          <w:szCs w:val="20"/>
          <w:u w:val="single"/>
          <w:lang w:val="en-US"/>
        </w:rPr>
        <w:t xml:space="preserve">. </w:t>
      </w:r>
      <w:r w:rsidRPr="00717971">
        <w:rPr>
          <w:rFonts w:cs="Calibri"/>
          <w:sz w:val="20"/>
          <w:szCs w:val="20"/>
          <w:u w:val="single"/>
        </w:rPr>
        <w:t>2010</w:t>
      </w:r>
      <w:r w:rsidRPr="00717971">
        <w:rPr>
          <w:rFonts w:cs="Calibri"/>
          <w:sz w:val="20"/>
          <w:szCs w:val="20"/>
        </w:rPr>
        <w:t>. 170 p. Disponível em: &lt;</w:t>
      </w:r>
      <w:proofErr w:type="gramStart"/>
      <w:r w:rsidRPr="00717971">
        <w:rPr>
          <w:rFonts w:cs="Calibri"/>
          <w:sz w:val="20"/>
          <w:szCs w:val="20"/>
        </w:rPr>
        <w:t>https</w:t>
      </w:r>
      <w:proofErr w:type="gramEnd"/>
      <w:r w:rsidRPr="00717971">
        <w:rPr>
          <w:rFonts w:cs="Calibri"/>
          <w:sz w:val="20"/>
          <w:szCs w:val="20"/>
        </w:rPr>
        <w:t>://sites.google.com/a/corbezzolo.org/pages/Home/download_FSE/&gt;. Acessado em: 17 ago. 2015.</w:t>
      </w:r>
    </w:p>
    <w:p w14:paraId="54F03557" w14:textId="77777777" w:rsidR="000B058E" w:rsidRPr="00717971" w:rsidRDefault="000B058E" w:rsidP="000B058E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</w:p>
    <w:p w14:paraId="25345336" w14:textId="692753DD" w:rsidR="000B058E" w:rsidRPr="00717971" w:rsidRDefault="000B058E" w:rsidP="000B058E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0"/>
          <w:szCs w:val="20"/>
        </w:rPr>
      </w:pPr>
      <w:r w:rsidRPr="00717971">
        <w:rPr>
          <w:rFonts w:cs="Calibri"/>
          <w:sz w:val="20"/>
          <w:szCs w:val="20"/>
        </w:rPr>
        <w:t xml:space="preserve">LUCENA, Fábio de Oliveira. </w:t>
      </w:r>
      <w:r w:rsidRPr="00717971">
        <w:rPr>
          <w:rFonts w:cs="Calibri"/>
          <w:b/>
          <w:sz w:val="20"/>
          <w:szCs w:val="20"/>
        </w:rPr>
        <w:t>Monografia</w:t>
      </w:r>
      <w:r w:rsidRPr="00717971">
        <w:rPr>
          <w:rFonts w:cs="Calibri"/>
          <w:sz w:val="20"/>
          <w:szCs w:val="20"/>
        </w:rPr>
        <w:t xml:space="preserve">: </w:t>
      </w:r>
      <w:r w:rsidRPr="00717971">
        <w:rPr>
          <w:rFonts w:cs="Calibri"/>
          <w:sz w:val="20"/>
          <w:szCs w:val="20"/>
          <w:u w:val="single"/>
        </w:rPr>
        <w:t>Arte e técnica da construção</w:t>
      </w:r>
      <w:r w:rsidRPr="00717971">
        <w:rPr>
          <w:rFonts w:cs="Calibri"/>
          <w:sz w:val="20"/>
          <w:szCs w:val="20"/>
        </w:rPr>
        <w:t xml:space="preserve">. Editora Ciência Moderna </w:t>
      </w:r>
      <w:proofErr w:type="spellStart"/>
      <w:r w:rsidRPr="00717971">
        <w:rPr>
          <w:rFonts w:cs="Calibri"/>
          <w:sz w:val="20"/>
          <w:szCs w:val="20"/>
        </w:rPr>
        <w:t>Ldta</w:t>
      </w:r>
      <w:proofErr w:type="spellEnd"/>
      <w:r w:rsidRPr="00717971">
        <w:rPr>
          <w:rFonts w:cs="Calibri"/>
          <w:sz w:val="20"/>
          <w:szCs w:val="20"/>
        </w:rPr>
        <w:t>. Rio de Janeiro, 2011. ISBN: 978-85-399-0085-5.</w:t>
      </w:r>
    </w:p>
    <w:p w14:paraId="5D42889A" w14:textId="77777777" w:rsidR="00717971" w:rsidRPr="00717971" w:rsidRDefault="00717971" w:rsidP="00717971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0"/>
          <w:szCs w:val="20"/>
        </w:rPr>
      </w:pPr>
    </w:p>
    <w:p w14:paraId="5C7F7733" w14:textId="77777777" w:rsidR="00717971" w:rsidRPr="00717971" w:rsidRDefault="00717971" w:rsidP="00717971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0"/>
          <w:szCs w:val="20"/>
          <w:lang w:val="en-US"/>
        </w:rPr>
      </w:pPr>
      <w:proofErr w:type="spellStart"/>
      <w:r w:rsidRPr="00BA4F41">
        <w:rPr>
          <w:rFonts w:cs="Calibri"/>
          <w:sz w:val="20"/>
          <w:szCs w:val="20"/>
        </w:rPr>
        <w:t>McGRATTAN</w:t>
      </w:r>
      <w:proofErr w:type="spellEnd"/>
      <w:r w:rsidRPr="00BA4F41">
        <w:rPr>
          <w:rFonts w:cs="Calibri"/>
          <w:sz w:val="20"/>
          <w:szCs w:val="20"/>
        </w:rPr>
        <w:t xml:space="preserve">, Kelvin, </w:t>
      </w:r>
      <w:proofErr w:type="gramStart"/>
      <w:r w:rsidRPr="00BA4F41">
        <w:rPr>
          <w:rFonts w:cs="Calibri"/>
          <w:sz w:val="20"/>
          <w:szCs w:val="20"/>
        </w:rPr>
        <w:t>et</w:t>
      </w:r>
      <w:proofErr w:type="gramEnd"/>
      <w:r w:rsidRPr="00BA4F41">
        <w:rPr>
          <w:rFonts w:cs="Calibri"/>
          <w:sz w:val="20"/>
          <w:szCs w:val="20"/>
        </w:rPr>
        <w:t xml:space="preserve"> al. </w:t>
      </w:r>
      <w:proofErr w:type="spellStart"/>
      <w:r w:rsidRPr="00332962">
        <w:rPr>
          <w:rFonts w:cs="Calibri"/>
          <w:b/>
          <w:sz w:val="20"/>
          <w:szCs w:val="20"/>
        </w:rPr>
        <w:t>Fire</w:t>
      </w:r>
      <w:proofErr w:type="spellEnd"/>
      <w:r w:rsidRPr="00332962">
        <w:rPr>
          <w:rFonts w:cs="Calibri"/>
          <w:b/>
          <w:sz w:val="20"/>
          <w:szCs w:val="20"/>
        </w:rPr>
        <w:t xml:space="preserve"> Dynamics Simulator </w:t>
      </w:r>
      <w:proofErr w:type="spellStart"/>
      <w:r w:rsidRPr="00332962">
        <w:rPr>
          <w:rFonts w:cs="Calibri"/>
          <w:b/>
          <w:sz w:val="20"/>
          <w:szCs w:val="20"/>
        </w:rPr>
        <w:t>User’s</w:t>
      </w:r>
      <w:proofErr w:type="spellEnd"/>
      <w:r w:rsidRPr="00332962">
        <w:rPr>
          <w:rFonts w:cs="Calibri"/>
          <w:b/>
          <w:sz w:val="20"/>
          <w:szCs w:val="20"/>
        </w:rPr>
        <w:t xml:space="preserve"> </w:t>
      </w:r>
      <w:proofErr w:type="spellStart"/>
      <w:r w:rsidRPr="00332962">
        <w:rPr>
          <w:rFonts w:cs="Calibri"/>
          <w:b/>
          <w:sz w:val="20"/>
          <w:szCs w:val="20"/>
        </w:rPr>
        <w:t>Guide</w:t>
      </w:r>
      <w:proofErr w:type="spellEnd"/>
      <w:r w:rsidRPr="00332962">
        <w:rPr>
          <w:rFonts w:cs="Calibri"/>
          <w:b/>
          <w:sz w:val="20"/>
          <w:szCs w:val="20"/>
        </w:rPr>
        <w:t>:</w:t>
      </w:r>
      <w:r w:rsidRPr="00332962">
        <w:rPr>
          <w:rFonts w:cs="Calibri"/>
          <w:sz w:val="20"/>
          <w:szCs w:val="20"/>
        </w:rPr>
        <w:t xml:space="preserve"> </w:t>
      </w:r>
      <w:proofErr w:type="spellStart"/>
      <w:r w:rsidRPr="00332962">
        <w:rPr>
          <w:rFonts w:cs="Calibri"/>
          <w:sz w:val="20"/>
          <w:szCs w:val="20"/>
          <w:u w:val="single"/>
        </w:rPr>
        <w:t>Sixth</w:t>
      </w:r>
      <w:proofErr w:type="spellEnd"/>
      <w:r w:rsidRPr="00332962">
        <w:rPr>
          <w:rFonts w:cs="Calibri"/>
          <w:sz w:val="20"/>
          <w:szCs w:val="20"/>
          <w:u w:val="single"/>
        </w:rPr>
        <w:t xml:space="preserve"> </w:t>
      </w:r>
      <w:proofErr w:type="spellStart"/>
      <w:r w:rsidRPr="00332962">
        <w:rPr>
          <w:rFonts w:cs="Calibri"/>
          <w:sz w:val="20"/>
          <w:szCs w:val="20"/>
          <w:u w:val="single"/>
        </w:rPr>
        <w:t>Edition</w:t>
      </w:r>
      <w:proofErr w:type="spellEnd"/>
      <w:r w:rsidRPr="00332962">
        <w:rPr>
          <w:rFonts w:cs="Calibri"/>
          <w:sz w:val="20"/>
          <w:szCs w:val="20"/>
        </w:rPr>
        <w:t xml:space="preserve">. </w:t>
      </w:r>
      <w:r w:rsidRPr="00717971">
        <w:rPr>
          <w:rFonts w:cs="Calibri"/>
          <w:sz w:val="20"/>
          <w:szCs w:val="20"/>
          <w:lang w:val="en-US"/>
        </w:rPr>
        <w:t>NIST Special Publication 1019: National Institute of Standards and Technology - NIST, Maryland (EUA), 2014.</w:t>
      </w:r>
    </w:p>
    <w:p w14:paraId="4D29B4C7" w14:textId="77777777" w:rsidR="00717971" w:rsidRPr="00717971" w:rsidRDefault="00717971" w:rsidP="00717971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0"/>
          <w:szCs w:val="20"/>
          <w:lang w:val="en-US"/>
        </w:rPr>
      </w:pPr>
    </w:p>
    <w:p w14:paraId="5409214A" w14:textId="77777777" w:rsidR="00717971" w:rsidRPr="00BA4F41" w:rsidRDefault="00717971" w:rsidP="00717971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0"/>
          <w:szCs w:val="20"/>
        </w:rPr>
      </w:pPr>
      <w:r w:rsidRPr="00717971">
        <w:rPr>
          <w:rFonts w:cs="Calibri"/>
          <w:sz w:val="20"/>
          <w:szCs w:val="20"/>
          <w:lang w:val="en-US"/>
        </w:rPr>
        <w:t xml:space="preserve">MOUNT PENN FIRE COMPANY. </w:t>
      </w:r>
      <w:proofErr w:type="gramStart"/>
      <w:r w:rsidRPr="00717971">
        <w:rPr>
          <w:rFonts w:cs="Calibri"/>
          <w:b/>
          <w:sz w:val="20"/>
          <w:szCs w:val="20"/>
          <w:lang w:val="en-US"/>
        </w:rPr>
        <w:t>Flash Over Simulator</w:t>
      </w:r>
      <w:r w:rsidRPr="00717971">
        <w:rPr>
          <w:rFonts w:cs="Calibri"/>
          <w:sz w:val="20"/>
          <w:szCs w:val="20"/>
          <w:lang w:val="en-US"/>
        </w:rPr>
        <w:t>.</w:t>
      </w:r>
      <w:proofErr w:type="gramEnd"/>
      <w:r w:rsidRPr="00717971">
        <w:rPr>
          <w:rFonts w:cs="Calibri"/>
          <w:sz w:val="20"/>
          <w:szCs w:val="20"/>
          <w:lang w:val="en-US"/>
        </w:rPr>
        <w:t xml:space="preserve"> </w:t>
      </w:r>
      <w:proofErr w:type="spellStart"/>
      <w:r w:rsidRPr="00717971">
        <w:rPr>
          <w:rFonts w:cs="Calibri"/>
          <w:sz w:val="20"/>
          <w:szCs w:val="20"/>
          <w:lang w:val="en-US"/>
        </w:rPr>
        <w:t>Vídeo</w:t>
      </w:r>
      <w:proofErr w:type="spellEnd"/>
      <w:r w:rsidRPr="00717971">
        <w:rPr>
          <w:rFonts w:cs="Calibri"/>
          <w:sz w:val="20"/>
          <w:szCs w:val="20"/>
          <w:lang w:val="en-US"/>
        </w:rPr>
        <w:t xml:space="preserve"> </w:t>
      </w:r>
      <w:proofErr w:type="spellStart"/>
      <w:r w:rsidRPr="00717971">
        <w:rPr>
          <w:rFonts w:cs="Calibri"/>
          <w:sz w:val="20"/>
          <w:szCs w:val="20"/>
          <w:lang w:val="en-US"/>
        </w:rPr>
        <w:t>produzido</w:t>
      </w:r>
      <w:proofErr w:type="spellEnd"/>
      <w:r w:rsidRPr="00717971">
        <w:rPr>
          <w:rFonts w:cs="Calibri"/>
          <w:sz w:val="20"/>
          <w:szCs w:val="20"/>
          <w:lang w:val="en-US"/>
        </w:rPr>
        <w:t xml:space="preserve"> </w:t>
      </w:r>
      <w:proofErr w:type="spellStart"/>
      <w:r w:rsidRPr="00717971">
        <w:rPr>
          <w:rFonts w:cs="Calibri"/>
          <w:sz w:val="20"/>
          <w:szCs w:val="20"/>
          <w:lang w:val="en-US"/>
        </w:rPr>
        <w:t>por</w:t>
      </w:r>
      <w:proofErr w:type="spellEnd"/>
      <w:r w:rsidRPr="00717971">
        <w:rPr>
          <w:rFonts w:cs="Calibri"/>
          <w:sz w:val="20"/>
          <w:szCs w:val="20"/>
          <w:lang w:val="en-US"/>
        </w:rPr>
        <w:t xml:space="preserve">: Fire Fighters of the Mt Penn Volunteer Fire Co. </w:t>
      </w:r>
      <w:proofErr w:type="spellStart"/>
      <w:r w:rsidRPr="00717971">
        <w:rPr>
          <w:rFonts w:cs="Calibri"/>
          <w:sz w:val="20"/>
          <w:szCs w:val="20"/>
        </w:rPr>
        <w:t>Mount</w:t>
      </w:r>
      <w:proofErr w:type="spellEnd"/>
      <w:r w:rsidRPr="00717971">
        <w:rPr>
          <w:rFonts w:cs="Calibri"/>
          <w:sz w:val="20"/>
          <w:szCs w:val="20"/>
        </w:rPr>
        <w:t xml:space="preserve"> Penn/ Pensilvânia - EUA: 2013. 1. Internet. Disponível em: &lt; </w:t>
      </w:r>
      <w:proofErr w:type="gramStart"/>
      <w:r w:rsidRPr="00717971">
        <w:rPr>
          <w:rFonts w:cs="Calibri"/>
          <w:sz w:val="20"/>
          <w:szCs w:val="20"/>
        </w:rPr>
        <w:t>https</w:t>
      </w:r>
      <w:proofErr w:type="gramEnd"/>
      <w:r w:rsidRPr="00717971">
        <w:rPr>
          <w:rFonts w:cs="Calibri"/>
          <w:sz w:val="20"/>
          <w:szCs w:val="20"/>
        </w:rPr>
        <w:t>://www.youtube.com/watch?v=vfp9bGobW-I&gt;</w:t>
      </w:r>
      <w:proofErr w:type="gramStart"/>
      <w:r w:rsidRPr="00717971">
        <w:rPr>
          <w:rFonts w:cs="Calibri"/>
          <w:sz w:val="20"/>
          <w:szCs w:val="20"/>
        </w:rPr>
        <w:t xml:space="preserve"> .</w:t>
      </w:r>
      <w:proofErr w:type="gramEnd"/>
      <w:r w:rsidRPr="00717971">
        <w:rPr>
          <w:rFonts w:cs="Calibri"/>
          <w:sz w:val="20"/>
          <w:szCs w:val="20"/>
        </w:rPr>
        <w:t xml:space="preserve"> </w:t>
      </w:r>
      <w:r w:rsidRPr="00BA4F41">
        <w:rPr>
          <w:rFonts w:cs="Calibri"/>
          <w:sz w:val="20"/>
          <w:szCs w:val="20"/>
        </w:rPr>
        <w:t xml:space="preserve">Acessado em: </w:t>
      </w:r>
      <w:proofErr w:type="gramStart"/>
      <w:r w:rsidRPr="00BA4F41">
        <w:rPr>
          <w:rFonts w:cs="Calibri"/>
          <w:sz w:val="20"/>
          <w:szCs w:val="20"/>
        </w:rPr>
        <w:t>2</w:t>
      </w:r>
      <w:proofErr w:type="gramEnd"/>
      <w:r w:rsidRPr="00BA4F41">
        <w:rPr>
          <w:rFonts w:cs="Calibri"/>
          <w:sz w:val="20"/>
          <w:szCs w:val="20"/>
        </w:rPr>
        <w:t xml:space="preserve"> jun. 2015.</w:t>
      </w:r>
    </w:p>
    <w:p w14:paraId="05287E71" w14:textId="77777777" w:rsidR="0082664A" w:rsidRPr="00717971" w:rsidRDefault="0082664A" w:rsidP="000B058E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0"/>
          <w:szCs w:val="20"/>
        </w:rPr>
      </w:pPr>
    </w:p>
    <w:p w14:paraId="7D876F44" w14:textId="5565F98E" w:rsidR="0082664A" w:rsidRPr="00717971" w:rsidRDefault="0082664A" w:rsidP="000B058E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0"/>
          <w:szCs w:val="20"/>
        </w:rPr>
      </w:pPr>
      <w:r w:rsidRPr="00717971">
        <w:rPr>
          <w:rFonts w:cs="Calibri"/>
          <w:sz w:val="20"/>
          <w:szCs w:val="20"/>
        </w:rPr>
        <w:t>ONO</w:t>
      </w:r>
      <w:proofErr w:type="gramStart"/>
      <w:r w:rsidRPr="00717971">
        <w:rPr>
          <w:rFonts w:cs="Calibri"/>
          <w:sz w:val="20"/>
          <w:szCs w:val="20"/>
        </w:rPr>
        <w:t>, Rosaria</w:t>
      </w:r>
      <w:proofErr w:type="gramEnd"/>
      <w:r w:rsidRPr="00717971">
        <w:rPr>
          <w:rFonts w:cs="Calibri"/>
          <w:sz w:val="20"/>
          <w:szCs w:val="20"/>
        </w:rPr>
        <w:t xml:space="preserve">. </w:t>
      </w:r>
      <w:r w:rsidRPr="00717971">
        <w:rPr>
          <w:rFonts w:cs="Calibri"/>
          <w:b/>
          <w:sz w:val="20"/>
          <w:szCs w:val="20"/>
        </w:rPr>
        <w:t>Aspectos do projeto arquitetônico relevantes para a segurança contra incêndio</w:t>
      </w:r>
      <w:r w:rsidRPr="00717971">
        <w:rPr>
          <w:rFonts w:cs="Calibri"/>
          <w:sz w:val="20"/>
          <w:szCs w:val="20"/>
        </w:rPr>
        <w:t xml:space="preserve">. Material didático referente ao </w:t>
      </w:r>
      <w:proofErr w:type="spellStart"/>
      <w:proofErr w:type="gramStart"/>
      <w:r w:rsidRPr="00717971">
        <w:rPr>
          <w:rFonts w:cs="Calibri"/>
          <w:sz w:val="20"/>
          <w:szCs w:val="20"/>
        </w:rPr>
        <w:t>Mini-curso</w:t>
      </w:r>
      <w:proofErr w:type="spellEnd"/>
      <w:proofErr w:type="gramEnd"/>
      <w:r w:rsidRPr="00717971">
        <w:rPr>
          <w:rFonts w:cs="Calibri"/>
          <w:sz w:val="20"/>
          <w:szCs w:val="20"/>
        </w:rPr>
        <w:t xml:space="preserve"> apresentado no 1º Congresso Ibero-Latino-Americano em Segurança Contra Incêndio – CILASCI, Natal/RN. 2011.</w:t>
      </w:r>
    </w:p>
    <w:p w14:paraId="6420AE3C" w14:textId="77777777" w:rsidR="00717971" w:rsidRPr="00BA4F41" w:rsidRDefault="00717971" w:rsidP="00717971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0"/>
          <w:szCs w:val="20"/>
        </w:rPr>
      </w:pPr>
    </w:p>
    <w:p w14:paraId="54C92E27" w14:textId="77777777" w:rsidR="00717971" w:rsidRPr="00717971" w:rsidRDefault="00717971" w:rsidP="00717971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0"/>
          <w:szCs w:val="20"/>
          <w:lang w:val="en-US"/>
        </w:rPr>
      </w:pPr>
      <w:r w:rsidRPr="00717971">
        <w:rPr>
          <w:rFonts w:cs="Calibri"/>
          <w:sz w:val="20"/>
          <w:szCs w:val="20"/>
          <w:lang w:val="en-US"/>
        </w:rPr>
        <w:t xml:space="preserve">ROBBINS, A.P.; WADE, C. </w:t>
      </w:r>
      <w:proofErr w:type="gramStart"/>
      <w:r w:rsidRPr="00717971">
        <w:rPr>
          <w:rFonts w:cs="Calibri"/>
          <w:sz w:val="20"/>
          <w:szCs w:val="20"/>
          <w:lang w:val="en-US"/>
        </w:rPr>
        <w:t>A..</w:t>
      </w:r>
      <w:proofErr w:type="gramEnd"/>
      <w:r w:rsidRPr="00717971">
        <w:rPr>
          <w:rFonts w:cs="Calibri"/>
          <w:sz w:val="20"/>
          <w:szCs w:val="20"/>
          <w:lang w:val="en-US"/>
        </w:rPr>
        <w:t xml:space="preserve"> </w:t>
      </w:r>
      <w:r w:rsidRPr="00717971">
        <w:rPr>
          <w:rFonts w:cs="Calibri"/>
          <w:b/>
          <w:sz w:val="20"/>
          <w:szCs w:val="20"/>
          <w:lang w:val="en-US"/>
        </w:rPr>
        <w:t xml:space="preserve">Soot Yield Values for </w:t>
      </w:r>
      <w:proofErr w:type="spellStart"/>
      <w:r w:rsidRPr="00717971">
        <w:rPr>
          <w:rFonts w:cs="Calibri"/>
          <w:b/>
          <w:sz w:val="20"/>
          <w:szCs w:val="20"/>
          <w:lang w:val="en-US"/>
        </w:rPr>
        <w:t>Modelling</w:t>
      </w:r>
      <w:proofErr w:type="spellEnd"/>
      <w:r w:rsidRPr="00717971">
        <w:rPr>
          <w:rFonts w:cs="Calibri"/>
          <w:b/>
          <w:sz w:val="20"/>
          <w:szCs w:val="20"/>
          <w:lang w:val="en-US"/>
        </w:rPr>
        <w:t xml:space="preserve"> Purposes:</w:t>
      </w:r>
      <w:r w:rsidRPr="00717971">
        <w:rPr>
          <w:rFonts w:cs="Calibri"/>
          <w:sz w:val="20"/>
          <w:szCs w:val="20"/>
          <w:lang w:val="en-US"/>
        </w:rPr>
        <w:t xml:space="preserve"> </w:t>
      </w:r>
      <w:r w:rsidRPr="00717971">
        <w:rPr>
          <w:rFonts w:cs="Calibri"/>
          <w:i/>
          <w:sz w:val="20"/>
          <w:szCs w:val="20"/>
          <w:lang w:val="en-US"/>
        </w:rPr>
        <w:t>Residential Occupancies</w:t>
      </w:r>
      <w:r w:rsidRPr="00717971">
        <w:rPr>
          <w:rFonts w:cs="Calibri"/>
          <w:sz w:val="20"/>
          <w:szCs w:val="20"/>
          <w:lang w:val="en-US"/>
        </w:rPr>
        <w:t xml:space="preserve">. BRANZ Study Report 185. </w:t>
      </w:r>
      <w:proofErr w:type="gramStart"/>
      <w:r w:rsidRPr="00717971">
        <w:rPr>
          <w:rFonts w:cs="Calibri"/>
          <w:sz w:val="20"/>
          <w:szCs w:val="20"/>
          <w:lang w:val="en-US"/>
        </w:rPr>
        <w:t xml:space="preserve">BRANZ Ltd, </w:t>
      </w:r>
      <w:proofErr w:type="spellStart"/>
      <w:r w:rsidRPr="00717971">
        <w:rPr>
          <w:rFonts w:cs="Calibri"/>
          <w:sz w:val="20"/>
          <w:szCs w:val="20"/>
          <w:lang w:val="en-US"/>
        </w:rPr>
        <w:t>Porirua</w:t>
      </w:r>
      <w:proofErr w:type="spellEnd"/>
      <w:r w:rsidRPr="00717971">
        <w:rPr>
          <w:rFonts w:cs="Calibri"/>
          <w:sz w:val="20"/>
          <w:szCs w:val="20"/>
          <w:lang w:val="en-US"/>
        </w:rPr>
        <w:t>, New Zealand, 2007.</w:t>
      </w:r>
      <w:proofErr w:type="gramEnd"/>
    </w:p>
    <w:p w14:paraId="4423AD0E" w14:textId="77777777" w:rsidR="0082664A" w:rsidRPr="00BA4F41" w:rsidRDefault="0082664A" w:rsidP="000B058E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0"/>
          <w:szCs w:val="20"/>
          <w:lang w:val="en-US"/>
        </w:rPr>
      </w:pPr>
    </w:p>
    <w:p w14:paraId="27B2BE37" w14:textId="3583B961" w:rsidR="0082664A" w:rsidRPr="00717971" w:rsidRDefault="0082664A" w:rsidP="000B058E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0"/>
          <w:szCs w:val="20"/>
        </w:rPr>
      </w:pPr>
      <w:r w:rsidRPr="00BA4F41">
        <w:rPr>
          <w:rFonts w:cs="Calibri"/>
          <w:sz w:val="20"/>
          <w:szCs w:val="20"/>
          <w:lang w:val="en-US"/>
        </w:rPr>
        <w:t xml:space="preserve">RUSCHEL, Fernanda. </w:t>
      </w:r>
      <w:r w:rsidRPr="00717971">
        <w:rPr>
          <w:rFonts w:cs="Calibri"/>
          <w:b/>
          <w:sz w:val="20"/>
          <w:szCs w:val="20"/>
        </w:rPr>
        <w:t>Avaliação da utilização de ferramentas de simulação computacional para reconstituição de incêndios em edificações de concreto armado</w:t>
      </w:r>
      <w:r w:rsidRPr="00717971">
        <w:rPr>
          <w:rFonts w:cs="Calibri"/>
          <w:sz w:val="20"/>
          <w:szCs w:val="20"/>
        </w:rPr>
        <w:t xml:space="preserve">: </w:t>
      </w:r>
      <w:r w:rsidRPr="00717971">
        <w:rPr>
          <w:rFonts w:cs="Calibri"/>
          <w:sz w:val="20"/>
          <w:szCs w:val="20"/>
          <w:u w:val="single"/>
        </w:rPr>
        <w:t>Aplicação ao caso Shopping Total em Porto Alegre - RS</w:t>
      </w:r>
      <w:r w:rsidRPr="00717971">
        <w:rPr>
          <w:rFonts w:cs="Calibri"/>
          <w:sz w:val="20"/>
          <w:szCs w:val="20"/>
        </w:rPr>
        <w:t>. Dissertação (Mestrado em Engenharia Civil). Programa de Pós-graduação em Engenharia Civil, UFRGS, Porto Alegre/ RS, 2011.</w:t>
      </w:r>
    </w:p>
    <w:p w14:paraId="69D56D55" w14:textId="77777777" w:rsidR="00717971" w:rsidRPr="00BA4F41" w:rsidRDefault="00717971" w:rsidP="000B058E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0"/>
          <w:szCs w:val="20"/>
        </w:rPr>
      </w:pPr>
    </w:p>
    <w:p w14:paraId="704AA72F" w14:textId="77777777" w:rsidR="00717971" w:rsidRPr="00717971" w:rsidRDefault="00717971" w:rsidP="00717971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0"/>
          <w:szCs w:val="20"/>
        </w:rPr>
      </w:pPr>
      <w:r w:rsidRPr="00BA4F41">
        <w:rPr>
          <w:rFonts w:cs="Calibri"/>
          <w:sz w:val="20"/>
          <w:szCs w:val="20"/>
        </w:rPr>
        <w:t xml:space="preserve">SEITO, Alexandre </w:t>
      </w:r>
      <w:proofErr w:type="spellStart"/>
      <w:r w:rsidRPr="00BA4F41">
        <w:rPr>
          <w:rFonts w:cs="Calibri"/>
          <w:sz w:val="20"/>
          <w:szCs w:val="20"/>
        </w:rPr>
        <w:t>Itiu</w:t>
      </w:r>
      <w:proofErr w:type="spellEnd"/>
      <w:r w:rsidRPr="00BA4F41">
        <w:rPr>
          <w:rFonts w:cs="Calibri"/>
          <w:sz w:val="20"/>
          <w:szCs w:val="20"/>
        </w:rPr>
        <w:t xml:space="preserve"> (coord.), </w:t>
      </w:r>
      <w:proofErr w:type="gramStart"/>
      <w:r w:rsidRPr="00BA4F41">
        <w:rPr>
          <w:rFonts w:cs="Calibri"/>
          <w:sz w:val="20"/>
          <w:szCs w:val="20"/>
        </w:rPr>
        <w:t>et</w:t>
      </w:r>
      <w:proofErr w:type="gramEnd"/>
      <w:r w:rsidRPr="00BA4F41">
        <w:rPr>
          <w:rFonts w:cs="Calibri"/>
          <w:sz w:val="20"/>
          <w:szCs w:val="20"/>
        </w:rPr>
        <w:t xml:space="preserve"> al.. </w:t>
      </w:r>
      <w:r w:rsidRPr="00BA4F41">
        <w:rPr>
          <w:rFonts w:cs="Calibri"/>
          <w:b/>
          <w:sz w:val="20"/>
          <w:szCs w:val="20"/>
        </w:rPr>
        <w:t>A segurança contra incêndio no Brasil.</w:t>
      </w:r>
      <w:r w:rsidRPr="00BA4F41">
        <w:rPr>
          <w:rFonts w:cs="Calibri"/>
          <w:sz w:val="20"/>
          <w:szCs w:val="20"/>
        </w:rPr>
        <w:t xml:space="preserve"> São Paulo: </w:t>
      </w:r>
      <w:proofErr w:type="gramStart"/>
      <w:r w:rsidRPr="00BA4F41">
        <w:rPr>
          <w:rFonts w:cs="Calibri"/>
          <w:sz w:val="20"/>
          <w:szCs w:val="20"/>
        </w:rPr>
        <w:t>Projeto editora, 2008</w:t>
      </w:r>
      <w:proofErr w:type="gramEnd"/>
      <w:r w:rsidRPr="00BA4F41">
        <w:rPr>
          <w:rFonts w:cs="Calibri"/>
          <w:sz w:val="20"/>
          <w:szCs w:val="20"/>
        </w:rPr>
        <w:t xml:space="preserve">. 496p. </w:t>
      </w:r>
      <w:r w:rsidRPr="00717971">
        <w:rPr>
          <w:rFonts w:cs="Calibri"/>
          <w:sz w:val="20"/>
          <w:szCs w:val="20"/>
        </w:rPr>
        <w:t>ISBN: 978-85-61295-00-4.</w:t>
      </w:r>
    </w:p>
    <w:p w14:paraId="4A62A521" w14:textId="77777777" w:rsidR="00717971" w:rsidRPr="00717971" w:rsidRDefault="00717971" w:rsidP="00717971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0"/>
          <w:szCs w:val="20"/>
        </w:rPr>
      </w:pPr>
    </w:p>
    <w:p w14:paraId="0B364E33" w14:textId="7AFCAC15" w:rsidR="00717971" w:rsidRPr="00717971" w:rsidRDefault="00717971" w:rsidP="00717971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0"/>
          <w:szCs w:val="20"/>
        </w:rPr>
      </w:pPr>
      <w:r w:rsidRPr="00717971">
        <w:rPr>
          <w:rFonts w:cs="Calibri"/>
          <w:sz w:val="20"/>
          <w:szCs w:val="20"/>
        </w:rPr>
        <w:t xml:space="preserve">SILVA, Valdir </w:t>
      </w:r>
      <w:proofErr w:type="spellStart"/>
      <w:r w:rsidRPr="00717971">
        <w:rPr>
          <w:rFonts w:cs="Calibri"/>
          <w:sz w:val="20"/>
          <w:szCs w:val="20"/>
        </w:rPr>
        <w:t>Pignatta</w:t>
      </w:r>
      <w:proofErr w:type="spellEnd"/>
      <w:r w:rsidRPr="00717971">
        <w:rPr>
          <w:rFonts w:cs="Calibri"/>
          <w:sz w:val="20"/>
          <w:szCs w:val="20"/>
        </w:rPr>
        <w:t xml:space="preserve"> e. </w:t>
      </w:r>
      <w:r w:rsidRPr="00717971">
        <w:rPr>
          <w:rFonts w:cs="Calibri"/>
          <w:b/>
          <w:sz w:val="20"/>
          <w:szCs w:val="20"/>
        </w:rPr>
        <w:t>Estruturas de aço em situações de incêndio</w:t>
      </w:r>
      <w:r w:rsidRPr="00717971">
        <w:rPr>
          <w:rFonts w:cs="Calibri"/>
          <w:sz w:val="20"/>
          <w:szCs w:val="20"/>
        </w:rPr>
        <w:t xml:space="preserve">. São Paulo: </w:t>
      </w:r>
      <w:proofErr w:type="spellStart"/>
      <w:r w:rsidRPr="00717971">
        <w:rPr>
          <w:rFonts w:cs="Calibri"/>
          <w:sz w:val="20"/>
          <w:szCs w:val="20"/>
        </w:rPr>
        <w:t>Zigurate</w:t>
      </w:r>
      <w:proofErr w:type="spellEnd"/>
      <w:r w:rsidRPr="00717971">
        <w:rPr>
          <w:rFonts w:cs="Calibri"/>
          <w:sz w:val="20"/>
          <w:szCs w:val="20"/>
        </w:rPr>
        <w:t xml:space="preserve"> Editora, 2004. ISBN 85-85570-04-0.</w:t>
      </w:r>
    </w:p>
    <w:p w14:paraId="15F6E2A6" w14:textId="77777777" w:rsidR="00717971" w:rsidRPr="00717971" w:rsidRDefault="00717971" w:rsidP="00717971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</w:p>
    <w:p w14:paraId="3B61A564" w14:textId="77777777" w:rsidR="00717971" w:rsidRPr="00717971" w:rsidRDefault="00717971" w:rsidP="00717971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0"/>
          <w:szCs w:val="20"/>
        </w:rPr>
      </w:pPr>
      <w:r w:rsidRPr="00717971">
        <w:rPr>
          <w:rFonts w:cs="Calibri"/>
          <w:sz w:val="20"/>
          <w:szCs w:val="20"/>
        </w:rPr>
        <w:t xml:space="preserve">____________. </w:t>
      </w:r>
      <w:r w:rsidRPr="00717971">
        <w:rPr>
          <w:rFonts w:cs="Calibri"/>
          <w:b/>
          <w:sz w:val="20"/>
          <w:szCs w:val="20"/>
        </w:rPr>
        <w:t>Segurança contra incêndio em edifícios:</w:t>
      </w:r>
      <w:r w:rsidRPr="00717971">
        <w:rPr>
          <w:rFonts w:cs="Calibri"/>
          <w:sz w:val="20"/>
          <w:szCs w:val="20"/>
        </w:rPr>
        <w:t xml:space="preserve"> </w:t>
      </w:r>
      <w:r w:rsidRPr="00717971">
        <w:rPr>
          <w:rFonts w:cs="Calibri"/>
          <w:sz w:val="20"/>
          <w:szCs w:val="20"/>
          <w:u w:val="single"/>
        </w:rPr>
        <w:t>Considerações para o projeto de arquitetura</w:t>
      </w:r>
      <w:r w:rsidRPr="00717971">
        <w:rPr>
          <w:rFonts w:cs="Calibri"/>
          <w:sz w:val="20"/>
          <w:szCs w:val="20"/>
        </w:rPr>
        <w:t xml:space="preserve">. São Paulo: </w:t>
      </w:r>
      <w:proofErr w:type="spellStart"/>
      <w:r w:rsidRPr="00717971">
        <w:rPr>
          <w:rFonts w:cs="Calibri"/>
          <w:sz w:val="20"/>
          <w:szCs w:val="20"/>
        </w:rPr>
        <w:t>Blucher</w:t>
      </w:r>
      <w:proofErr w:type="spellEnd"/>
      <w:r w:rsidRPr="00717971">
        <w:rPr>
          <w:rFonts w:cs="Calibri"/>
          <w:sz w:val="20"/>
          <w:szCs w:val="20"/>
        </w:rPr>
        <w:t>, 2014. ISBN 978-85-212-0775-7.</w:t>
      </w:r>
    </w:p>
    <w:p w14:paraId="08C86FC0" w14:textId="647AD478" w:rsidR="00717971" w:rsidRPr="00717971" w:rsidRDefault="00717971" w:rsidP="000B058E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0"/>
          <w:szCs w:val="20"/>
        </w:rPr>
      </w:pPr>
    </w:p>
    <w:sectPr w:rsidR="00717971" w:rsidRPr="00717971" w:rsidSect="007B2EAF">
      <w:type w:val="continuous"/>
      <w:pgSz w:w="11906" w:h="16838"/>
      <w:pgMar w:top="720" w:right="720" w:bottom="720" w:left="720" w:header="708" w:footer="708" w:gutter="0"/>
      <w:cols w:num="2" w:space="286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8D743C7" w14:textId="77777777" w:rsidR="003A1856" w:rsidRDefault="003A1856" w:rsidP="00CF1E74">
      <w:pPr>
        <w:spacing w:after="0" w:line="240" w:lineRule="auto"/>
      </w:pPr>
      <w:r>
        <w:separator/>
      </w:r>
    </w:p>
  </w:endnote>
  <w:endnote w:type="continuationSeparator" w:id="0">
    <w:p w14:paraId="670B5E40" w14:textId="77777777" w:rsidR="003A1856" w:rsidRDefault="003A1856" w:rsidP="00CF1E7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Arial Unicode MS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825631C" w14:textId="77777777" w:rsidR="009E3EAF" w:rsidRDefault="009E3EAF" w:rsidP="00F34F0A">
    <w:pPr>
      <w:pStyle w:val="Cabealho"/>
      <w:jc w:val="center"/>
      <w:rPr>
        <w:color w:val="948A54"/>
        <w:spacing w:val="2"/>
        <w:sz w:val="20"/>
        <w:szCs w:val="20"/>
      </w:rPr>
    </w:pPr>
    <w:r>
      <w:rPr>
        <w:noProof/>
        <w:lang w:eastAsia="pt-BR"/>
      </w:rPr>
      <w:drawing>
        <wp:inline distT="0" distB="0" distL="0" distR="0" wp14:anchorId="03F9518B" wp14:editId="0EB9FC2B">
          <wp:extent cx="379730" cy="431165"/>
          <wp:effectExtent l="0" t="0" r="1270" b="6985"/>
          <wp:docPr id="5" name="Imagem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9730" cy="4311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D582E78" w14:textId="77777777" w:rsidR="009E3EAF" w:rsidRPr="00F34F0A" w:rsidRDefault="009E3EAF" w:rsidP="00F34F0A">
    <w:pPr>
      <w:pStyle w:val="Cabealho"/>
      <w:jc w:val="center"/>
      <w:rPr>
        <w:color w:val="948A54"/>
        <w:spacing w:val="2"/>
        <w:sz w:val="20"/>
        <w:szCs w:val="20"/>
      </w:rPr>
    </w:pPr>
    <w:r w:rsidRPr="00F34F0A">
      <w:rPr>
        <w:color w:val="948A54"/>
        <w:spacing w:val="2"/>
        <w:sz w:val="20"/>
        <w:szCs w:val="20"/>
      </w:rPr>
      <w:t xml:space="preserve">Programa </w:t>
    </w:r>
    <w:r>
      <w:rPr>
        <w:color w:val="948A54"/>
        <w:spacing w:val="2"/>
        <w:sz w:val="20"/>
        <w:szCs w:val="20"/>
      </w:rPr>
      <w:t>de Pós</w:t>
    </w:r>
    <w:r w:rsidRPr="00F34F0A">
      <w:rPr>
        <w:color w:val="948A54"/>
        <w:spacing w:val="2"/>
        <w:sz w:val="20"/>
        <w:szCs w:val="20"/>
      </w:rPr>
      <w:t xml:space="preserve">-Graduação Mestrado Profissional em Arquitetura, Projeto e Meio Ambiente </w:t>
    </w:r>
    <w:r>
      <w:rPr>
        <w:color w:val="948A54"/>
        <w:spacing w:val="2"/>
        <w:sz w:val="20"/>
        <w:szCs w:val="20"/>
      </w:rPr>
      <w:t>|</w:t>
    </w:r>
    <w:r w:rsidRPr="00F34F0A">
      <w:rPr>
        <w:color w:val="948A54"/>
        <w:spacing w:val="2"/>
        <w:sz w:val="20"/>
        <w:szCs w:val="20"/>
      </w:rPr>
      <w:t>PPMPAPM/UFRN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FEFE9B0" w14:textId="77777777" w:rsidR="009E3EAF" w:rsidRPr="00591785" w:rsidRDefault="009E3EAF" w:rsidP="00FF741A">
    <w:pPr>
      <w:pStyle w:val="Cabealho"/>
      <w:jc w:val="center"/>
      <w:rPr>
        <w:sz w:val="16"/>
        <w:szCs w:val="16"/>
      </w:rPr>
    </w:pPr>
    <w:r w:rsidRPr="00591785">
      <w:rPr>
        <w:color w:val="948A54"/>
        <w:spacing w:val="60"/>
        <w:sz w:val="16"/>
        <w:szCs w:val="16"/>
      </w:rPr>
      <w:t>UNIVERSIDADE FEDERAL DO RIO GRANDE DO NORTE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34378D3" w14:textId="77777777" w:rsidR="003A1856" w:rsidRDefault="003A1856" w:rsidP="00CF1E74">
      <w:pPr>
        <w:spacing w:after="0" w:line="240" w:lineRule="auto"/>
      </w:pPr>
      <w:r>
        <w:separator/>
      </w:r>
    </w:p>
  </w:footnote>
  <w:footnote w:type="continuationSeparator" w:id="0">
    <w:p w14:paraId="3DBF2B64" w14:textId="77777777" w:rsidR="003A1856" w:rsidRDefault="003A1856" w:rsidP="00CF1E7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A83DE6B" w14:textId="77777777" w:rsidR="009E3EAF" w:rsidRDefault="009E3EAF" w:rsidP="00F34F0A">
    <w:pPr>
      <w:pStyle w:val="Cabealho"/>
      <w:jc w:val="center"/>
      <w:rPr>
        <w:color w:val="948A54"/>
        <w:spacing w:val="2"/>
        <w:sz w:val="18"/>
        <w:szCs w:val="18"/>
      </w:rPr>
    </w:pPr>
    <w:r>
      <w:rPr>
        <w:noProof/>
        <w:color w:val="948A54"/>
        <w:spacing w:val="2"/>
        <w:sz w:val="18"/>
        <w:szCs w:val="18"/>
        <w:lang w:eastAsia="pt-BR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77675FE2" wp14:editId="53D66007">
              <wp:simplePos x="0" y="0"/>
              <wp:positionH relativeFrom="page">
                <wp:posOffset>516890</wp:posOffset>
              </wp:positionH>
              <wp:positionV relativeFrom="page">
                <wp:posOffset>0</wp:posOffset>
              </wp:positionV>
              <wp:extent cx="727710" cy="329565"/>
              <wp:effectExtent l="0" t="0" r="0" b="0"/>
              <wp:wrapNone/>
              <wp:docPr id="6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27710" cy="3295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C2B5365" w14:textId="77777777" w:rsidR="009E3EAF" w:rsidRDefault="009E3EAF">
                          <w:pPr>
                            <w:pBdr>
                              <w:bottom w:val="single" w:sz="4" w:space="1" w:color="auto"/>
                            </w:pBdr>
                          </w:pPr>
                          <w:r>
                            <w:fldChar w:fldCharType="begin"/>
                          </w:r>
                          <w:r>
                            <w:instrText>PAGE   \* MERGEFORMAT</w:instrText>
                          </w:r>
                          <w:r>
                            <w:fldChar w:fldCharType="separate"/>
                          </w:r>
                          <w:r w:rsidR="009D0CD9">
                            <w:rPr>
                              <w:noProof/>
                            </w:rPr>
                            <w:t>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rightMargin">
                <wp14:pctWidth>80000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tângulo 4" o:spid="_x0000_s1026" style="position:absolute;left:0;text-align:left;margin-left:40.7pt;margin-top:0;width:57.3pt;height:25.95pt;z-index:251657216;visibility:visible;mso-wrap-style:square;mso-width-percent:80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" o:allowincell="f" stroked="f">
              <v:textbox>
                <w:txbxContent>
                  <w:p w14:paraId="0C2B5365" w14:textId="77777777" w:rsidR="009E3EAF" w:rsidRDefault="009E3EAF">
                    <w:pPr>
                      <w:pBdr>
                        <w:bottom w:val="single" w:sz="4" w:space="1" w:color="auto"/>
                      </w:pBdr>
                    </w:pPr>
                    <w:r>
                      <w:fldChar w:fldCharType="begin"/>
                    </w:r>
                    <w:r>
                      <w:instrText>PAGE   \* MERGEFORMAT</w:instrText>
                    </w:r>
                    <w:r>
                      <w:fldChar w:fldCharType="separate"/>
                    </w:r>
                    <w:r w:rsidR="009D0CD9">
                      <w:rPr>
                        <w:noProof/>
                      </w:rPr>
                      <w:t>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rect>
          </w:pict>
        </mc:Fallback>
      </mc:AlternateContent>
    </w:r>
    <w:r>
      <w:rPr>
        <w:noProof/>
        <w:lang w:eastAsia="pt-BR"/>
      </w:rPr>
      <w:drawing>
        <wp:inline distT="0" distB="0" distL="0" distR="0" wp14:anchorId="622EE15B" wp14:editId="3B8840B7">
          <wp:extent cx="362585" cy="405130"/>
          <wp:effectExtent l="0" t="0" r="0" b="0"/>
          <wp:docPr id="1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2585" cy="4051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FF8A6AF" w14:textId="77777777" w:rsidR="009E3EAF" w:rsidRPr="00AC6A08" w:rsidRDefault="009E3EAF" w:rsidP="00F34F0A">
    <w:pPr>
      <w:pStyle w:val="Cabealho"/>
      <w:jc w:val="center"/>
      <w:rPr>
        <w:color w:val="948A54"/>
        <w:spacing w:val="2"/>
        <w:sz w:val="20"/>
        <w:szCs w:val="20"/>
      </w:rPr>
    </w:pPr>
    <w:r w:rsidRPr="00AC6A08">
      <w:rPr>
        <w:color w:val="948A54"/>
        <w:spacing w:val="2"/>
        <w:sz w:val="20"/>
        <w:szCs w:val="20"/>
      </w:rPr>
      <w:t xml:space="preserve">Programa de Pós-Graduação em Arquitetura e Urbanismo |PPGAU/UFRN    </w:t>
    </w:r>
  </w:p>
  <w:p w14:paraId="711F4C22" w14:textId="77777777" w:rsidR="009E3EAF" w:rsidRPr="00A64C65" w:rsidRDefault="009E3EAF" w:rsidP="00A64C65">
    <w:pPr>
      <w:pStyle w:val="Cabealho"/>
      <w:jc w:val="center"/>
      <w:rPr>
        <w:color w:val="948A54"/>
        <w:spacing w:val="2"/>
        <w:sz w:val="18"/>
        <w:szCs w:val="18"/>
      </w:rPr>
    </w:pPr>
    <w:r>
      <w:rPr>
        <w:noProof/>
        <w:color w:val="EEECE1"/>
        <w:spacing w:val="2"/>
        <w:sz w:val="18"/>
        <w:szCs w:val="18"/>
        <w:lang w:eastAsia="pt-BR"/>
      </w:rPr>
      <w:drawing>
        <wp:inline distT="0" distB="0" distL="0" distR="0" wp14:anchorId="75279274" wp14:editId="0A2A7484">
          <wp:extent cx="4839335" cy="5460365"/>
          <wp:effectExtent l="0" t="0" r="0" b="6985"/>
          <wp:docPr id="2" name="Imagem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39335" cy="5460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color w:val="EEECE1"/>
        <w:spacing w:val="2"/>
        <w:sz w:val="18"/>
        <w:szCs w:val="18"/>
        <w:lang w:eastAsia="pt-BR"/>
      </w:rPr>
      <w:drawing>
        <wp:inline distT="0" distB="0" distL="0" distR="0" wp14:anchorId="19C48F8C" wp14:editId="24C3AC0D">
          <wp:extent cx="4839335" cy="5460365"/>
          <wp:effectExtent l="0" t="0" r="0" b="6985"/>
          <wp:docPr id="3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39335" cy="5460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C5BD24D" w14:textId="51BE0DA4" w:rsidR="009E3EAF" w:rsidRDefault="009E3EAF" w:rsidP="00744250">
    <w:pPr>
      <w:pStyle w:val="Cabealho"/>
      <w:tabs>
        <w:tab w:val="left" w:pos="1630"/>
        <w:tab w:val="left" w:pos="4004"/>
        <w:tab w:val="center" w:pos="5233"/>
      </w:tabs>
      <w:rPr>
        <w:color w:val="948A54"/>
        <w:spacing w:val="42"/>
        <w:sz w:val="20"/>
        <w:szCs w:val="20"/>
      </w:rPr>
    </w:pPr>
    <w:r>
      <w:rPr>
        <w:color w:val="948A54"/>
        <w:spacing w:val="42"/>
        <w:sz w:val="20"/>
        <w:szCs w:val="20"/>
      </w:rPr>
      <w:tab/>
    </w:r>
    <w:r>
      <w:rPr>
        <w:color w:val="948A54"/>
        <w:spacing w:val="42"/>
        <w:sz w:val="20"/>
        <w:szCs w:val="20"/>
      </w:rPr>
      <w:tab/>
    </w:r>
    <w:r w:rsidR="00987A1C">
      <w:rPr>
        <w:noProof/>
        <w:color w:val="948A54"/>
        <w:spacing w:val="42"/>
        <w:sz w:val="20"/>
        <w:szCs w:val="20"/>
        <w:lang w:eastAsia="pt-BR"/>
      </w:rPr>
      <w:drawing>
        <wp:inline distT="0" distB="0" distL="0" distR="0" wp14:anchorId="031E2539" wp14:editId="71ABBB72">
          <wp:extent cx="1440000" cy="953239"/>
          <wp:effectExtent l="0" t="0" r="8255" b="12065"/>
          <wp:docPr id="8" name="Imagem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Rubenilson\Desktop\Logo 3 simposio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4350" t="10931" r="12876" b="24837"/>
                  <a:stretch/>
                </pic:blipFill>
                <pic:spPr bwMode="auto">
                  <a:xfrm>
                    <a:off x="0" y="0"/>
                    <a:ext cx="1440000" cy="953239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>
      <w:rPr>
        <w:color w:val="948A54"/>
        <w:spacing w:val="42"/>
        <w:sz w:val="20"/>
        <w:szCs w:val="20"/>
      </w:rPr>
      <w:tab/>
    </w:r>
    <w:r>
      <w:rPr>
        <w:color w:val="948A54"/>
        <w:spacing w:val="42"/>
        <w:sz w:val="20"/>
        <w:szCs w:val="20"/>
      </w:rPr>
      <w:tab/>
    </w:r>
  </w:p>
  <w:p w14:paraId="299FB8D4" w14:textId="4629D912" w:rsidR="009E3EAF" w:rsidRPr="00DC669D" w:rsidRDefault="009E3EAF" w:rsidP="00E127F1">
    <w:pPr>
      <w:pStyle w:val="Cabealho"/>
      <w:tabs>
        <w:tab w:val="left" w:pos="4004"/>
      </w:tabs>
      <w:jc w:val="center"/>
      <w:rPr>
        <w:color w:val="948A54"/>
        <w:spacing w:val="20"/>
        <w:sz w:val="16"/>
        <w:szCs w:val="16"/>
      </w:rPr>
    </w:pPr>
    <w:r>
      <w:rPr>
        <w:noProof/>
        <w:color w:val="948A54"/>
        <w:spacing w:val="20"/>
        <w:sz w:val="18"/>
        <w:szCs w:val="18"/>
        <w:lang w:eastAsia="pt-BR"/>
      </w:rPr>
      <mc:AlternateContent>
        <mc:Choice Requires="wps">
          <w:drawing>
            <wp:anchor distT="0" distB="0" distL="114300" distR="114300" simplePos="0" relativeHeight="251658240" behindDoc="0" locked="0" layoutInCell="0" allowOverlap="1" wp14:anchorId="3D8D5F47" wp14:editId="738D04AD">
              <wp:simplePos x="0" y="0"/>
              <wp:positionH relativeFrom="page">
                <wp:posOffset>7197090</wp:posOffset>
              </wp:positionH>
              <wp:positionV relativeFrom="page">
                <wp:posOffset>5194935</wp:posOffset>
              </wp:positionV>
              <wp:extent cx="365760" cy="329565"/>
              <wp:effectExtent l="0" t="0" r="0" b="0"/>
              <wp:wrapNone/>
              <wp:docPr id="545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65760" cy="3295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C19F97D" w14:textId="77777777" w:rsidR="009E3EAF" w:rsidRDefault="009E3EAF">
                          <w:pPr>
                            <w:pBdr>
                              <w:bottom w:val="single" w:sz="4" w:space="1" w:color="auto"/>
                            </w:pBdr>
                          </w:pPr>
                          <w:r>
                            <w:fldChar w:fldCharType="begin"/>
                          </w:r>
                          <w:r>
                            <w:instrText>PAGE   \* MERGEFORMAT</w:instrText>
                          </w:r>
                          <w:r>
                            <w:fldChar w:fldCharType="separate"/>
                          </w:r>
                          <w:r w:rsidR="009D0CD9">
                            <w:rPr>
                              <w:noProof/>
                            </w:rPr>
                            <w:t>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rightMargin">
                <wp14:pctWidth>80000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027" style="position:absolute;left:0;text-align:left;margin-left:566.7pt;margin-top:409.05pt;width:28.8pt;height:25.95pt;z-index:251658240;visibility:visible;mso-wrap-style:square;mso-width-percent:80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" o:allowincell="f" stroked="f">
              <v:textbox>
                <w:txbxContent>
                  <w:p w14:paraId="0C19F97D" w14:textId="77777777" w:rsidR="009E3EAF" w:rsidRDefault="009E3EAF">
                    <w:pPr>
                      <w:pBdr>
                        <w:bottom w:val="single" w:sz="4" w:space="1" w:color="auto"/>
                      </w:pBdr>
                    </w:pPr>
                    <w:r>
                      <w:fldChar w:fldCharType="begin"/>
                    </w:r>
                    <w:r>
                      <w:instrText>PAGE   \* MERGEFORMAT</w:instrText>
                    </w:r>
                    <w:r>
                      <w:fldChar w:fldCharType="separate"/>
                    </w:r>
                    <w:r w:rsidR="009D0CD9">
                      <w:rPr>
                        <w:noProof/>
                      </w:rPr>
                      <w:t>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rect>
          </w:pict>
        </mc:Fallback>
      </mc:AlternateContent>
    </w:r>
    <w:r w:rsidR="00F541A0">
      <w:rPr>
        <w:color w:val="948A54"/>
        <w:spacing w:val="20"/>
        <w:sz w:val="20"/>
        <w:szCs w:val="20"/>
      </w:rPr>
      <w:t>4</w:t>
    </w:r>
    <w:r w:rsidRPr="00DC669D">
      <w:rPr>
        <w:color w:val="948A54"/>
        <w:spacing w:val="20"/>
        <w:sz w:val="20"/>
        <w:szCs w:val="20"/>
      </w:rPr>
      <w:t xml:space="preserve">° </w:t>
    </w:r>
    <w:r w:rsidRPr="00744250">
      <w:rPr>
        <w:color w:val="948A54"/>
        <w:spacing w:val="20"/>
        <w:sz w:val="20"/>
        <w:szCs w:val="20"/>
      </w:rPr>
      <w:t>SIMPÓSIO</w:t>
    </w:r>
    <w:r>
      <w:rPr>
        <w:color w:val="948A54"/>
        <w:spacing w:val="20"/>
        <w:sz w:val="20"/>
        <w:szCs w:val="20"/>
      </w:rPr>
      <w:t xml:space="preserve"> </w:t>
    </w:r>
    <w:r w:rsidRPr="00DC669D">
      <w:rPr>
        <w:color w:val="948A54"/>
        <w:spacing w:val="20"/>
        <w:sz w:val="20"/>
        <w:szCs w:val="20"/>
      </w:rPr>
      <w:t>DE PESQUISA DO PPGAU-UFRN</w:t>
    </w:r>
    <w:r w:rsidRPr="00DC669D">
      <w:rPr>
        <w:color w:val="948A54"/>
        <w:spacing w:val="20"/>
        <w:sz w:val="16"/>
        <w:szCs w:val="16"/>
      </w:rPr>
      <w:t xml:space="preserve"> – </w:t>
    </w:r>
    <w:r>
      <w:rPr>
        <w:color w:val="948A54"/>
        <w:spacing w:val="20"/>
        <w:sz w:val="16"/>
        <w:szCs w:val="16"/>
      </w:rPr>
      <w:t>DOUTORADO</w:t>
    </w:r>
    <w:r w:rsidRPr="00DC669D">
      <w:rPr>
        <w:color w:val="948A54"/>
        <w:spacing w:val="20"/>
        <w:sz w:val="16"/>
        <w:szCs w:val="16"/>
      </w:rPr>
      <w:t xml:space="preserve">, </w:t>
    </w:r>
    <w:r>
      <w:rPr>
        <w:color w:val="948A54"/>
        <w:spacing w:val="20"/>
        <w:sz w:val="16"/>
        <w:szCs w:val="16"/>
      </w:rPr>
      <w:t>MESTRADO ACADÊMICO</w:t>
    </w:r>
    <w:r w:rsidRPr="00DC669D">
      <w:rPr>
        <w:color w:val="948A54"/>
        <w:spacing w:val="20"/>
        <w:sz w:val="16"/>
        <w:szCs w:val="16"/>
      </w:rPr>
      <w:t xml:space="preserve"> e MESTRADO PROFISSIONAL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5425A9"/>
    <w:multiLevelType w:val="hybridMultilevel"/>
    <w:tmpl w:val="881E4C98"/>
    <w:lvl w:ilvl="0" w:tplc="04160019">
      <w:start w:val="1"/>
      <w:numFmt w:val="lowerLetter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F1E74"/>
    <w:rsid w:val="0004495F"/>
    <w:rsid w:val="00051919"/>
    <w:rsid w:val="00074764"/>
    <w:rsid w:val="0008317A"/>
    <w:rsid w:val="000B058E"/>
    <w:rsid w:val="000B3944"/>
    <w:rsid w:val="000B6D6F"/>
    <w:rsid w:val="000C02AB"/>
    <w:rsid w:val="000C3685"/>
    <w:rsid w:val="000C6FEE"/>
    <w:rsid w:val="000D5D30"/>
    <w:rsid w:val="000E4361"/>
    <w:rsid w:val="000F70AB"/>
    <w:rsid w:val="001125CD"/>
    <w:rsid w:val="0013088B"/>
    <w:rsid w:val="0015545D"/>
    <w:rsid w:val="00162C0A"/>
    <w:rsid w:val="00172E34"/>
    <w:rsid w:val="001746A3"/>
    <w:rsid w:val="0017634B"/>
    <w:rsid w:val="00185972"/>
    <w:rsid w:val="001874AD"/>
    <w:rsid w:val="00192FE6"/>
    <w:rsid w:val="001943D8"/>
    <w:rsid w:val="001A2B7A"/>
    <w:rsid w:val="001A3B6A"/>
    <w:rsid w:val="001C4BDC"/>
    <w:rsid w:val="001D2629"/>
    <w:rsid w:val="001D44A2"/>
    <w:rsid w:val="001D5A9F"/>
    <w:rsid w:val="001E4E7A"/>
    <w:rsid w:val="001F549D"/>
    <w:rsid w:val="0020318F"/>
    <w:rsid w:val="00211487"/>
    <w:rsid w:val="0022271E"/>
    <w:rsid w:val="00244395"/>
    <w:rsid w:val="002644EC"/>
    <w:rsid w:val="00274EF6"/>
    <w:rsid w:val="00294D9C"/>
    <w:rsid w:val="002E5DE3"/>
    <w:rsid w:val="00332962"/>
    <w:rsid w:val="003370FC"/>
    <w:rsid w:val="00340833"/>
    <w:rsid w:val="00375E0C"/>
    <w:rsid w:val="0037735A"/>
    <w:rsid w:val="003800E3"/>
    <w:rsid w:val="00382E66"/>
    <w:rsid w:val="003A1856"/>
    <w:rsid w:val="003B00CB"/>
    <w:rsid w:val="003C7374"/>
    <w:rsid w:val="003D31EA"/>
    <w:rsid w:val="003D5B85"/>
    <w:rsid w:val="003E017D"/>
    <w:rsid w:val="003E603D"/>
    <w:rsid w:val="003E766A"/>
    <w:rsid w:val="003F4FF8"/>
    <w:rsid w:val="00405F9B"/>
    <w:rsid w:val="00411454"/>
    <w:rsid w:val="00411FAD"/>
    <w:rsid w:val="004727AB"/>
    <w:rsid w:val="00492705"/>
    <w:rsid w:val="004D2598"/>
    <w:rsid w:val="004D4129"/>
    <w:rsid w:val="004E56E8"/>
    <w:rsid w:val="004E7E35"/>
    <w:rsid w:val="00503572"/>
    <w:rsid w:val="0053747F"/>
    <w:rsid w:val="00537D80"/>
    <w:rsid w:val="005428CE"/>
    <w:rsid w:val="00587908"/>
    <w:rsid w:val="00591785"/>
    <w:rsid w:val="005936F1"/>
    <w:rsid w:val="00594732"/>
    <w:rsid w:val="005974DD"/>
    <w:rsid w:val="005C69B7"/>
    <w:rsid w:val="005D2CD8"/>
    <w:rsid w:val="005E13DA"/>
    <w:rsid w:val="005E5A21"/>
    <w:rsid w:val="005F2D17"/>
    <w:rsid w:val="005F559F"/>
    <w:rsid w:val="005F6331"/>
    <w:rsid w:val="00610077"/>
    <w:rsid w:val="00625AC5"/>
    <w:rsid w:val="00631568"/>
    <w:rsid w:val="00652A9B"/>
    <w:rsid w:val="00652EF3"/>
    <w:rsid w:val="00681B2D"/>
    <w:rsid w:val="00682857"/>
    <w:rsid w:val="006A31FC"/>
    <w:rsid w:val="00704DDC"/>
    <w:rsid w:val="00717971"/>
    <w:rsid w:val="00732761"/>
    <w:rsid w:val="00744250"/>
    <w:rsid w:val="007645AF"/>
    <w:rsid w:val="00773004"/>
    <w:rsid w:val="007755AF"/>
    <w:rsid w:val="00776737"/>
    <w:rsid w:val="00781BE5"/>
    <w:rsid w:val="0079335B"/>
    <w:rsid w:val="007B2784"/>
    <w:rsid w:val="007B2EAF"/>
    <w:rsid w:val="007B344F"/>
    <w:rsid w:val="007C6849"/>
    <w:rsid w:val="007D5918"/>
    <w:rsid w:val="00814A6A"/>
    <w:rsid w:val="00814E13"/>
    <w:rsid w:val="0082664A"/>
    <w:rsid w:val="00834899"/>
    <w:rsid w:val="008374C7"/>
    <w:rsid w:val="00852EDB"/>
    <w:rsid w:val="008550D3"/>
    <w:rsid w:val="00863708"/>
    <w:rsid w:val="0086531E"/>
    <w:rsid w:val="008707C4"/>
    <w:rsid w:val="00891711"/>
    <w:rsid w:val="008941F4"/>
    <w:rsid w:val="008A17C6"/>
    <w:rsid w:val="008A668B"/>
    <w:rsid w:val="008C29A3"/>
    <w:rsid w:val="008C30C5"/>
    <w:rsid w:val="008C3121"/>
    <w:rsid w:val="008C324F"/>
    <w:rsid w:val="008C6CD5"/>
    <w:rsid w:val="008E51D4"/>
    <w:rsid w:val="008E5F30"/>
    <w:rsid w:val="00901402"/>
    <w:rsid w:val="00953512"/>
    <w:rsid w:val="00957D5E"/>
    <w:rsid w:val="00961D3A"/>
    <w:rsid w:val="00967913"/>
    <w:rsid w:val="00984661"/>
    <w:rsid w:val="00986791"/>
    <w:rsid w:val="00987A1C"/>
    <w:rsid w:val="0099729C"/>
    <w:rsid w:val="009C61F2"/>
    <w:rsid w:val="009D0CD9"/>
    <w:rsid w:val="009E3EAF"/>
    <w:rsid w:val="009E6CED"/>
    <w:rsid w:val="009F1EF8"/>
    <w:rsid w:val="00A05D1F"/>
    <w:rsid w:val="00A13C9C"/>
    <w:rsid w:val="00A353F8"/>
    <w:rsid w:val="00A400A0"/>
    <w:rsid w:val="00A40E73"/>
    <w:rsid w:val="00A44712"/>
    <w:rsid w:val="00A64C65"/>
    <w:rsid w:val="00A853BC"/>
    <w:rsid w:val="00AC6A08"/>
    <w:rsid w:val="00AD2674"/>
    <w:rsid w:val="00AF641E"/>
    <w:rsid w:val="00B474CF"/>
    <w:rsid w:val="00B55831"/>
    <w:rsid w:val="00B645A6"/>
    <w:rsid w:val="00B85916"/>
    <w:rsid w:val="00BA4F41"/>
    <w:rsid w:val="00BB3B9E"/>
    <w:rsid w:val="00BC65CB"/>
    <w:rsid w:val="00BD0D06"/>
    <w:rsid w:val="00BD4B5D"/>
    <w:rsid w:val="00BD7BDA"/>
    <w:rsid w:val="00C12F16"/>
    <w:rsid w:val="00C224B1"/>
    <w:rsid w:val="00C30AA8"/>
    <w:rsid w:val="00C3594D"/>
    <w:rsid w:val="00C54BDA"/>
    <w:rsid w:val="00C82466"/>
    <w:rsid w:val="00C97083"/>
    <w:rsid w:val="00CC5031"/>
    <w:rsid w:val="00CF1E74"/>
    <w:rsid w:val="00CF2C31"/>
    <w:rsid w:val="00CF6855"/>
    <w:rsid w:val="00D00FF8"/>
    <w:rsid w:val="00D055D1"/>
    <w:rsid w:val="00D103FB"/>
    <w:rsid w:val="00D22DFD"/>
    <w:rsid w:val="00D42301"/>
    <w:rsid w:val="00D45189"/>
    <w:rsid w:val="00D45A80"/>
    <w:rsid w:val="00D505CF"/>
    <w:rsid w:val="00D9350F"/>
    <w:rsid w:val="00DA08FC"/>
    <w:rsid w:val="00DA2C67"/>
    <w:rsid w:val="00DC1FE5"/>
    <w:rsid w:val="00DC2E59"/>
    <w:rsid w:val="00DC669D"/>
    <w:rsid w:val="00DD7D0F"/>
    <w:rsid w:val="00DF468A"/>
    <w:rsid w:val="00E056C0"/>
    <w:rsid w:val="00E07F15"/>
    <w:rsid w:val="00E127F1"/>
    <w:rsid w:val="00E21BC6"/>
    <w:rsid w:val="00E22814"/>
    <w:rsid w:val="00E229B7"/>
    <w:rsid w:val="00E31180"/>
    <w:rsid w:val="00E332B9"/>
    <w:rsid w:val="00E334CB"/>
    <w:rsid w:val="00E71E00"/>
    <w:rsid w:val="00EC2AC1"/>
    <w:rsid w:val="00ED1532"/>
    <w:rsid w:val="00ED484A"/>
    <w:rsid w:val="00EF3143"/>
    <w:rsid w:val="00F135C0"/>
    <w:rsid w:val="00F16C8A"/>
    <w:rsid w:val="00F24577"/>
    <w:rsid w:val="00F2575D"/>
    <w:rsid w:val="00F3232F"/>
    <w:rsid w:val="00F34F0A"/>
    <w:rsid w:val="00F51590"/>
    <w:rsid w:val="00F541A0"/>
    <w:rsid w:val="00F57AC9"/>
    <w:rsid w:val="00F62804"/>
    <w:rsid w:val="00F83478"/>
    <w:rsid w:val="00F83CEB"/>
    <w:rsid w:val="00FC369F"/>
    <w:rsid w:val="00FC6031"/>
    <w:rsid w:val="00FD074A"/>
    <w:rsid w:val="00FD264B"/>
    <w:rsid w:val="00FE4C58"/>
    <w:rsid w:val="00FF741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0D8F415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0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83CEB"/>
    <w:pPr>
      <w:spacing w:after="200" w:line="276" w:lineRule="auto"/>
    </w:pPr>
    <w:rPr>
      <w:sz w:val="22"/>
      <w:szCs w:val="22"/>
      <w:lang w:eastAsia="en-U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CF1E7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CF1E74"/>
  </w:style>
  <w:style w:type="paragraph" w:styleId="Rodap">
    <w:name w:val="footer"/>
    <w:basedOn w:val="Normal"/>
    <w:link w:val="RodapChar"/>
    <w:uiPriority w:val="99"/>
    <w:unhideWhenUsed/>
    <w:rsid w:val="00CF1E7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CF1E74"/>
  </w:style>
  <w:style w:type="paragraph" w:styleId="Textodebalo">
    <w:name w:val="Balloon Text"/>
    <w:basedOn w:val="Normal"/>
    <w:link w:val="TextodebaloChar"/>
    <w:uiPriority w:val="99"/>
    <w:semiHidden/>
    <w:unhideWhenUsed/>
    <w:rsid w:val="00CF1E74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xtodebaloChar">
    <w:name w:val="Texto de balão Char"/>
    <w:link w:val="Textodebalo"/>
    <w:uiPriority w:val="99"/>
    <w:semiHidden/>
    <w:rsid w:val="00CF1E74"/>
    <w:rPr>
      <w:rFonts w:ascii="Tahoma" w:hAnsi="Tahoma" w:cs="Tahoma"/>
      <w:sz w:val="16"/>
      <w:szCs w:val="16"/>
    </w:rPr>
  </w:style>
  <w:style w:type="paragraph" w:styleId="Textodenotadefim">
    <w:name w:val="endnote text"/>
    <w:basedOn w:val="Normal"/>
    <w:link w:val="TextodenotadefimChar"/>
    <w:uiPriority w:val="99"/>
    <w:semiHidden/>
    <w:unhideWhenUsed/>
    <w:rsid w:val="003B00CB"/>
    <w:pPr>
      <w:spacing w:after="0" w:line="240" w:lineRule="auto"/>
    </w:pPr>
    <w:rPr>
      <w:sz w:val="20"/>
      <w:szCs w:val="20"/>
      <w:lang w:val="x-none" w:eastAsia="x-none"/>
    </w:rPr>
  </w:style>
  <w:style w:type="character" w:customStyle="1" w:styleId="TextodenotadefimChar">
    <w:name w:val="Texto de nota de fim Char"/>
    <w:link w:val="Textodenotadefim"/>
    <w:uiPriority w:val="99"/>
    <w:semiHidden/>
    <w:rsid w:val="003B00CB"/>
    <w:rPr>
      <w:sz w:val="20"/>
      <w:szCs w:val="20"/>
    </w:rPr>
  </w:style>
  <w:style w:type="character" w:styleId="Refdenotadefim">
    <w:name w:val="endnote reference"/>
    <w:uiPriority w:val="99"/>
    <w:semiHidden/>
    <w:unhideWhenUsed/>
    <w:rsid w:val="003B00CB"/>
    <w:rPr>
      <w:vertAlign w:val="superscript"/>
    </w:rPr>
  </w:style>
  <w:style w:type="character" w:styleId="Refdecomentrio">
    <w:name w:val="annotation reference"/>
    <w:basedOn w:val="Fontepargpadro"/>
    <w:uiPriority w:val="99"/>
    <w:semiHidden/>
    <w:unhideWhenUsed/>
    <w:rsid w:val="009F1EF8"/>
    <w:rPr>
      <w:sz w:val="18"/>
      <w:szCs w:val="18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9F1EF8"/>
    <w:pPr>
      <w:spacing w:line="240" w:lineRule="auto"/>
    </w:pPr>
    <w:rPr>
      <w:sz w:val="24"/>
      <w:szCs w:val="24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9F1EF8"/>
    <w:rPr>
      <w:sz w:val="24"/>
      <w:szCs w:val="24"/>
      <w:lang w:eastAsia="en-US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9F1EF8"/>
    <w:rPr>
      <w:b/>
      <w:bCs/>
      <w:sz w:val="20"/>
      <w:szCs w:val="20"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9F1EF8"/>
    <w:rPr>
      <w:b/>
      <w:bCs/>
      <w:sz w:val="24"/>
      <w:szCs w:val="24"/>
      <w:lang w:eastAsia="en-US"/>
    </w:rPr>
  </w:style>
  <w:style w:type="paragraph" w:styleId="Textodenotaderodap">
    <w:name w:val="footnote text"/>
    <w:basedOn w:val="Normal"/>
    <w:link w:val="TextodenotaderodapChar"/>
    <w:unhideWhenUsed/>
    <w:rsid w:val="00594732"/>
    <w:pPr>
      <w:spacing w:after="0" w:line="240" w:lineRule="auto"/>
    </w:pPr>
    <w:rPr>
      <w:sz w:val="20"/>
      <w:szCs w:val="20"/>
    </w:rPr>
  </w:style>
  <w:style w:type="character" w:customStyle="1" w:styleId="TextodenotaderodapChar">
    <w:name w:val="Texto de nota de rodapé Char"/>
    <w:basedOn w:val="Fontepargpadro"/>
    <w:link w:val="Textodenotaderodap"/>
    <w:rsid w:val="00594732"/>
    <w:rPr>
      <w:lang w:eastAsia="en-US"/>
    </w:rPr>
  </w:style>
  <w:style w:type="character" w:styleId="Refdenotaderodap">
    <w:name w:val="footnote reference"/>
    <w:rsid w:val="00594732"/>
    <w:rPr>
      <w:vertAlign w:val="superscript"/>
    </w:rPr>
  </w:style>
  <w:style w:type="paragraph" w:customStyle="1" w:styleId="Paragraphcilamce2013">
    <w:name w:val="Paragraph cilamce2013"/>
    <w:basedOn w:val="Normal"/>
    <w:autoRedefine/>
    <w:qFormat/>
    <w:rsid w:val="00594732"/>
    <w:pPr>
      <w:spacing w:before="120" w:after="120" w:line="240" w:lineRule="auto"/>
      <w:ind w:firstLine="425"/>
      <w:jc w:val="both"/>
    </w:pPr>
    <w:rPr>
      <w:rFonts w:ascii="Times New Roman" w:hAnsi="Times New Roman"/>
      <w:sz w:val="24"/>
    </w:rPr>
  </w:style>
  <w:style w:type="paragraph" w:styleId="Legenda">
    <w:name w:val="caption"/>
    <w:basedOn w:val="Normal"/>
    <w:next w:val="Normal"/>
    <w:unhideWhenUsed/>
    <w:qFormat/>
    <w:rsid w:val="00AF641E"/>
    <w:pPr>
      <w:keepNext/>
      <w:spacing w:before="200" w:after="0" w:line="240" w:lineRule="auto"/>
      <w:jc w:val="center"/>
    </w:pPr>
    <w:rPr>
      <w:bCs/>
      <w:sz w:val="18"/>
      <w:szCs w:val="18"/>
    </w:rPr>
  </w:style>
  <w:style w:type="paragraph" w:styleId="Citao">
    <w:name w:val="Quote"/>
    <w:basedOn w:val="Normal"/>
    <w:next w:val="Normal"/>
    <w:link w:val="CitaoChar"/>
    <w:uiPriority w:val="29"/>
    <w:qFormat/>
    <w:rsid w:val="004D2598"/>
    <w:pPr>
      <w:spacing w:line="240" w:lineRule="auto"/>
      <w:jc w:val="right"/>
    </w:pPr>
    <w:rPr>
      <w:i/>
      <w:iCs/>
      <w:color w:val="000000" w:themeColor="text1"/>
    </w:rPr>
  </w:style>
  <w:style w:type="character" w:customStyle="1" w:styleId="CitaoChar">
    <w:name w:val="Citação Char"/>
    <w:basedOn w:val="Fontepargpadro"/>
    <w:link w:val="Citao"/>
    <w:uiPriority w:val="29"/>
    <w:rsid w:val="004D2598"/>
    <w:rPr>
      <w:i/>
      <w:iCs/>
      <w:color w:val="000000" w:themeColor="text1"/>
      <w:sz w:val="22"/>
      <w:szCs w:val="22"/>
      <w:lang w:eastAsia="en-US"/>
    </w:rPr>
  </w:style>
  <w:style w:type="table" w:styleId="Tabelacomgrade">
    <w:name w:val="Table Grid"/>
    <w:basedOn w:val="Tabelanormal"/>
    <w:rsid w:val="00405F9B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Quadrosetabelas">
    <w:name w:val="Quadros e tabelas"/>
    <w:basedOn w:val="Normal"/>
    <w:qFormat/>
    <w:rsid w:val="00405F9B"/>
    <w:pPr>
      <w:spacing w:before="60" w:after="60" w:line="240" w:lineRule="auto"/>
      <w:jc w:val="center"/>
    </w:pPr>
    <w:rPr>
      <w:rFonts w:ascii="Arial" w:eastAsia="Times New Roman" w:hAnsi="Arial"/>
      <w:sz w:val="20"/>
      <w:szCs w:val="24"/>
      <w:lang w:eastAsia="pt-BR"/>
    </w:rPr>
  </w:style>
  <w:style w:type="paragraph" w:customStyle="1" w:styleId="Figura">
    <w:name w:val="Figura"/>
    <w:basedOn w:val="Normal"/>
    <w:next w:val="Normal"/>
    <w:qFormat/>
    <w:rsid w:val="007D5918"/>
    <w:pPr>
      <w:autoSpaceDE w:val="0"/>
      <w:autoSpaceDN w:val="0"/>
      <w:adjustRightInd w:val="0"/>
      <w:spacing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0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83CEB"/>
    <w:pPr>
      <w:spacing w:after="200" w:line="276" w:lineRule="auto"/>
    </w:pPr>
    <w:rPr>
      <w:sz w:val="22"/>
      <w:szCs w:val="22"/>
      <w:lang w:eastAsia="en-U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CF1E7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CF1E74"/>
  </w:style>
  <w:style w:type="paragraph" w:styleId="Rodap">
    <w:name w:val="footer"/>
    <w:basedOn w:val="Normal"/>
    <w:link w:val="RodapChar"/>
    <w:uiPriority w:val="99"/>
    <w:unhideWhenUsed/>
    <w:rsid w:val="00CF1E7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CF1E74"/>
  </w:style>
  <w:style w:type="paragraph" w:styleId="Textodebalo">
    <w:name w:val="Balloon Text"/>
    <w:basedOn w:val="Normal"/>
    <w:link w:val="TextodebaloChar"/>
    <w:uiPriority w:val="99"/>
    <w:semiHidden/>
    <w:unhideWhenUsed/>
    <w:rsid w:val="00CF1E74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xtodebaloChar">
    <w:name w:val="Texto de balão Char"/>
    <w:link w:val="Textodebalo"/>
    <w:uiPriority w:val="99"/>
    <w:semiHidden/>
    <w:rsid w:val="00CF1E74"/>
    <w:rPr>
      <w:rFonts w:ascii="Tahoma" w:hAnsi="Tahoma" w:cs="Tahoma"/>
      <w:sz w:val="16"/>
      <w:szCs w:val="16"/>
    </w:rPr>
  </w:style>
  <w:style w:type="paragraph" w:styleId="Textodenotadefim">
    <w:name w:val="endnote text"/>
    <w:basedOn w:val="Normal"/>
    <w:link w:val="TextodenotadefimChar"/>
    <w:uiPriority w:val="99"/>
    <w:semiHidden/>
    <w:unhideWhenUsed/>
    <w:rsid w:val="003B00CB"/>
    <w:pPr>
      <w:spacing w:after="0" w:line="240" w:lineRule="auto"/>
    </w:pPr>
    <w:rPr>
      <w:sz w:val="20"/>
      <w:szCs w:val="20"/>
      <w:lang w:val="x-none" w:eastAsia="x-none"/>
    </w:rPr>
  </w:style>
  <w:style w:type="character" w:customStyle="1" w:styleId="TextodenotadefimChar">
    <w:name w:val="Texto de nota de fim Char"/>
    <w:link w:val="Textodenotadefim"/>
    <w:uiPriority w:val="99"/>
    <w:semiHidden/>
    <w:rsid w:val="003B00CB"/>
    <w:rPr>
      <w:sz w:val="20"/>
      <w:szCs w:val="20"/>
    </w:rPr>
  </w:style>
  <w:style w:type="character" w:styleId="Refdenotadefim">
    <w:name w:val="endnote reference"/>
    <w:uiPriority w:val="99"/>
    <w:semiHidden/>
    <w:unhideWhenUsed/>
    <w:rsid w:val="003B00CB"/>
    <w:rPr>
      <w:vertAlign w:val="superscript"/>
    </w:rPr>
  </w:style>
  <w:style w:type="character" w:styleId="Refdecomentrio">
    <w:name w:val="annotation reference"/>
    <w:basedOn w:val="Fontepargpadro"/>
    <w:uiPriority w:val="99"/>
    <w:semiHidden/>
    <w:unhideWhenUsed/>
    <w:rsid w:val="009F1EF8"/>
    <w:rPr>
      <w:sz w:val="18"/>
      <w:szCs w:val="18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9F1EF8"/>
    <w:pPr>
      <w:spacing w:line="240" w:lineRule="auto"/>
    </w:pPr>
    <w:rPr>
      <w:sz w:val="24"/>
      <w:szCs w:val="24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9F1EF8"/>
    <w:rPr>
      <w:sz w:val="24"/>
      <w:szCs w:val="24"/>
      <w:lang w:eastAsia="en-US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9F1EF8"/>
    <w:rPr>
      <w:b/>
      <w:bCs/>
      <w:sz w:val="20"/>
      <w:szCs w:val="20"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9F1EF8"/>
    <w:rPr>
      <w:b/>
      <w:bCs/>
      <w:sz w:val="24"/>
      <w:szCs w:val="24"/>
      <w:lang w:eastAsia="en-US"/>
    </w:rPr>
  </w:style>
  <w:style w:type="paragraph" w:styleId="Textodenotaderodap">
    <w:name w:val="footnote text"/>
    <w:basedOn w:val="Normal"/>
    <w:link w:val="TextodenotaderodapChar"/>
    <w:unhideWhenUsed/>
    <w:rsid w:val="00594732"/>
    <w:pPr>
      <w:spacing w:after="0" w:line="240" w:lineRule="auto"/>
    </w:pPr>
    <w:rPr>
      <w:sz w:val="20"/>
      <w:szCs w:val="20"/>
    </w:rPr>
  </w:style>
  <w:style w:type="character" w:customStyle="1" w:styleId="TextodenotaderodapChar">
    <w:name w:val="Texto de nota de rodapé Char"/>
    <w:basedOn w:val="Fontepargpadro"/>
    <w:link w:val="Textodenotaderodap"/>
    <w:rsid w:val="00594732"/>
    <w:rPr>
      <w:lang w:eastAsia="en-US"/>
    </w:rPr>
  </w:style>
  <w:style w:type="character" w:styleId="Refdenotaderodap">
    <w:name w:val="footnote reference"/>
    <w:rsid w:val="00594732"/>
    <w:rPr>
      <w:vertAlign w:val="superscript"/>
    </w:rPr>
  </w:style>
  <w:style w:type="paragraph" w:customStyle="1" w:styleId="Paragraphcilamce2013">
    <w:name w:val="Paragraph cilamce2013"/>
    <w:basedOn w:val="Normal"/>
    <w:autoRedefine/>
    <w:qFormat/>
    <w:rsid w:val="00594732"/>
    <w:pPr>
      <w:spacing w:before="120" w:after="120" w:line="240" w:lineRule="auto"/>
      <w:ind w:firstLine="425"/>
      <w:jc w:val="both"/>
    </w:pPr>
    <w:rPr>
      <w:rFonts w:ascii="Times New Roman" w:hAnsi="Times New Roman"/>
      <w:sz w:val="24"/>
    </w:rPr>
  </w:style>
  <w:style w:type="paragraph" w:styleId="Legenda">
    <w:name w:val="caption"/>
    <w:basedOn w:val="Normal"/>
    <w:next w:val="Normal"/>
    <w:unhideWhenUsed/>
    <w:qFormat/>
    <w:rsid w:val="00AF641E"/>
    <w:pPr>
      <w:keepNext/>
      <w:spacing w:before="200" w:after="0" w:line="240" w:lineRule="auto"/>
      <w:jc w:val="center"/>
    </w:pPr>
    <w:rPr>
      <w:bCs/>
      <w:sz w:val="18"/>
      <w:szCs w:val="18"/>
    </w:rPr>
  </w:style>
  <w:style w:type="paragraph" w:styleId="Citao">
    <w:name w:val="Quote"/>
    <w:basedOn w:val="Normal"/>
    <w:next w:val="Normal"/>
    <w:link w:val="CitaoChar"/>
    <w:uiPriority w:val="29"/>
    <w:qFormat/>
    <w:rsid w:val="004D2598"/>
    <w:pPr>
      <w:spacing w:line="240" w:lineRule="auto"/>
      <w:jc w:val="right"/>
    </w:pPr>
    <w:rPr>
      <w:i/>
      <w:iCs/>
      <w:color w:val="000000" w:themeColor="text1"/>
    </w:rPr>
  </w:style>
  <w:style w:type="character" w:customStyle="1" w:styleId="CitaoChar">
    <w:name w:val="Citação Char"/>
    <w:basedOn w:val="Fontepargpadro"/>
    <w:link w:val="Citao"/>
    <w:uiPriority w:val="29"/>
    <w:rsid w:val="004D2598"/>
    <w:rPr>
      <w:i/>
      <w:iCs/>
      <w:color w:val="000000" w:themeColor="text1"/>
      <w:sz w:val="22"/>
      <w:szCs w:val="22"/>
      <w:lang w:eastAsia="en-US"/>
    </w:rPr>
  </w:style>
  <w:style w:type="table" w:styleId="Tabelacomgrade">
    <w:name w:val="Table Grid"/>
    <w:basedOn w:val="Tabelanormal"/>
    <w:rsid w:val="00405F9B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Quadrosetabelas">
    <w:name w:val="Quadros e tabelas"/>
    <w:basedOn w:val="Normal"/>
    <w:qFormat/>
    <w:rsid w:val="00405F9B"/>
    <w:pPr>
      <w:spacing w:before="60" w:after="60" w:line="240" w:lineRule="auto"/>
      <w:jc w:val="center"/>
    </w:pPr>
    <w:rPr>
      <w:rFonts w:ascii="Arial" w:eastAsia="Times New Roman" w:hAnsi="Arial"/>
      <w:sz w:val="20"/>
      <w:szCs w:val="24"/>
      <w:lang w:eastAsia="pt-BR"/>
    </w:rPr>
  </w:style>
  <w:style w:type="paragraph" w:customStyle="1" w:styleId="Figura">
    <w:name w:val="Figura"/>
    <w:basedOn w:val="Normal"/>
    <w:next w:val="Normal"/>
    <w:qFormat/>
    <w:rsid w:val="007D5918"/>
    <w:pPr>
      <w:autoSpaceDE w:val="0"/>
      <w:autoSpaceDN w:val="0"/>
      <w:adjustRightInd w:val="0"/>
      <w:spacing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g"/><Relationship Id="rId18" Type="http://schemas.openxmlformats.org/officeDocument/2006/relationships/image" Target="media/image9.jp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image" Target="media/image8.jpg"/><Relationship Id="rId2" Type="http://schemas.openxmlformats.org/officeDocument/2006/relationships/numbering" Target="numbering.xml"/><Relationship Id="rId16" Type="http://schemas.openxmlformats.org/officeDocument/2006/relationships/image" Target="media/image7.jp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6.jpg"/><Relationship Id="rId10" Type="http://schemas.openxmlformats.org/officeDocument/2006/relationships/header" Target="header2.xml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5.jp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475DC98-FC29-4199-84F3-86C0B82E6F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442</TotalTime>
  <Pages>6</Pages>
  <Words>3489</Words>
  <Characters>18844</Characters>
  <Application>Microsoft Office Word</Application>
  <DocSecurity>0</DocSecurity>
  <Lines>157</Lines>
  <Paragraphs>44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22289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alessandro</dc:creator>
  <cp:lastModifiedBy>leonardo cunha</cp:lastModifiedBy>
  <cp:revision>38</cp:revision>
  <dcterms:created xsi:type="dcterms:W3CDTF">2016-01-14T14:39:00Z</dcterms:created>
  <dcterms:modified xsi:type="dcterms:W3CDTF">2016-01-26T19:49:00Z</dcterms:modified>
</cp:coreProperties>
</file>